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FEA" w:rsidRPr="0052548E" w:rsidRDefault="00774FEA" w:rsidP="00774FE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CB1D83">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E21454">
        <w:rPr>
          <w:rFonts w:ascii="Arial" w:eastAsia="MS Mincho" w:hAnsi="Arial" w:cs="Arial"/>
          <w:b/>
          <w:bCs/>
          <w:sz w:val="28"/>
          <w:lang w:eastAsia="ja-JP"/>
        </w:rPr>
        <w:t>06977</w:t>
      </w:r>
    </w:p>
    <w:p w:rsidR="00774FEA" w:rsidRPr="009513AC" w:rsidRDefault="00CB1D83" w:rsidP="00774F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00774FEA" w:rsidRPr="00F9274C">
        <w:rPr>
          <w:rFonts w:ascii="Arial" w:eastAsia="MS Mincho" w:hAnsi="Arial" w:cs="Arial"/>
          <w:b/>
          <w:bCs/>
          <w:sz w:val="28"/>
          <w:vertAlign w:val="superscript"/>
          <w:lang w:eastAsia="ja-JP"/>
        </w:rPr>
        <w:t>th</w:t>
      </w:r>
      <w:r w:rsidR="00774FEA">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2.1</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A0A99">
        <w:rPr>
          <w:rFonts w:ascii="Arial" w:hAnsi="Arial"/>
          <w:sz w:val="28"/>
          <w:szCs w:val="28"/>
        </w:rPr>
        <w:t xml:space="preserve">CQI/MCS </w:t>
      </w:r>
      <w:r w:rsidR="00A0552C">
        <w:rPr>
          <w:rFonts w:ascii="Arial" w:hAnsi="Arial"/>
          <w:sz w:val="28"/>
          <w:szCs w:val="28"/>
        </w:rPr>
        <w:t xml:space="preserve">Reporting </w:t>
      </w:r>
      <w:r w:rsidR="00435A39">
        <w:rPr>
          <w:rFonts w:ascii="Arial" w:hAnsi="Arial"/>
          <w:sz w:val="28"/>
          <w:szCs w:val="28"/>
        </w:rPr>
        <w:t xml:space="preserve">for </w:t>
      </w:r>
      <w:r w:rsidR="00AA0A99">
        <w:rPr>
          <w:rFonts w:ascii="Arial" w:hAnsi="Arial"/>
          <w:sz w:val="28"/>
          <w:szCs w:val="28"/>
        </w:rPr>
        <w:t xml:space="preserve">URLLC </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previous RAN meeting. However, another important use case of NR is Ultra Reliable Low Latency Communication (URLLC).  The target of URLLC is to meet the performance requirements set forth in TR 38.913.</w:t>
      </w:r>
      <w:r w:rsidR="00A31143">
        <w:rPr>
          <w:sz w:val="24"/>
          <w:szCs w:val="24"/>
        </w:rPr>
        <w:t xml:space="preserve"> </w:t>
      </w:r>
      <w:r w:rsidR="003A387F">
        <w:rPr>
          <w:sz w:val="24"/>
          <w:szCs w:val="24"/>
        </w:rPr>
        <w:t xml:space="preserve"> The following agreements were made in Ran1#92</w:t>
      </w:r>
      <w:r w:rsidR="00F473C8">
        <w:rPr>
          <w:sz w:val="24"/>
          <w:szCs w:val="24"/>
        </w:rPr>
        <w:t xml:space="preserve"> bis</w:t>
      </w:r>
      <w:r w:rsidR="003A387F">
        <w:rPr>
          <w:sz w:val="24"/>
          <w:szCs w:val="24"/>
        </w:rPr>
        <w:t xml:space="preserve">. </w:t>
      </w:r>
      <w:r w:rsidR="00A31143">
        <w:rPr>
          <w:sz w:val="24"/>
          <w:szCs w:val="24"/>
        </w:rPr>
        <w:t xml:space="preserve">In this contribution, we provide our views on CQI/MCS </w:t>
      </w:r>
      <w:r w:rsidR="00F473C8">
        <w:rPr>
          <w:sz w:val="24"/>
          <w:szCs w:val="24"/>
        </w:rPr>
        <w:t>reporting</w:t>
      </w:r>
      <w:r w:rsidR="00A31143">
        <w:rPr>
          <w:sz w:val="24"/>
          <w:szCs w:val="24"/>
        </w:rPr>
        <w:t xml:space="preserve"> for URLLC. </w:t>
      </w:r>
    </w:p>
    <w:p w:rsidR="003A387F" w:rsidRPr="00920711" w:rsidRDefault="003A387F" w:rsidP="003A387F">
      <w:pPr>
        <w:rPr>
          <w:b/>
          <w:sz w:val="24"/>
          <w:u w:val="single"/>
        </w:rPr>
      </w:pPr>
      <w:r w:rsidRPr="00920711">
        <w:rPr>
          <w:b/>
          <w:sz w:val="24"/>
          <w:highlight w:val="green"/>
          <w:u w:val="single"/>
        </w:rPr>
        <w:t>Agreeme</w:t>
      </w:r>
      <w:r w:rsidR="00920711">
        <w:rPr>
          <w:b/>
          <w:sz w:val="24"/>
          <w:highlight w:val="green"/>
          <w:u w:val="single"/>
        </w:rPr>
        <w:t>nt</w:t>
      </w:r>
      <w:r w:rsidRPr="00920711">
        <w:rPr>
          <w:b/>
          <w:sz w:val="24"/>
          <w:u w:val="single"/>
        </w:rPr>
        <w:t>:</w:t>
      </w:r>
    </w:p>
    <w:p w:rsidR="006124BA" w:rsidRPr="00F473C8" w:rsidRDefault="006124BA" w:rsidP="006124BA">
      <w:pPr>
        <w:pStyle w:val="ListParagraph"/>
        <w:numPr>
          <w:ilvl w:val="0"/>
          <w:numId w:val="27"/>
        </w:numPr>
        <w:overflowPunct w:val="0"/>
        <w:autoSpaceDE w:val="0"/>
        <w:autoSpaceDN w:val="0"/>
        <w:adjustRightInd w:val="0"/>
        <w:spacing w:after="180"/>
        <w:contextualSpacing/>
        <w:textAlignment w:val="baseline"/>
        <w:rPr>
          <w:sz w:val="20"/>
        </w:rPr>
      </w:pPr>
      <w:r w:rsidRPr="00F473C8">
        <w:rPr>
          <w:sz w:val="20"/>
        </w:rPr>
        <w:t>The two BLER targets that are configurable for URLLC for CSI reporting are:</w:t>
      </w:r>
    </w:p>
    <w:p w:rsidR="006124BA" w:rsidRPr="00F473C8" w:rsidRDefault="006124BA" w:rsidP="006124BA">
      <w:pPr>
        <w:pStyle w:val="ListParagraph"/>
        <w:numPr>
          <w:ilvl w:val="1"/>
          <w:numId w:val="27"/>
        </w:numPr>
        <w:overflowPunct w:val="0"/>
        <w:autoSpaceDE w:val="0"/>
        <w:autoSpaceDN w:val="0"/>
        <w:adjustRightInd w:val="0"/>
        <w:spacing w:after="180"/>
        <w:contextualSpacing/>
        <w:textAlignment w:val="baseline"/>
        <w:rPr>
          <w:sz w:val="20"/>
        </w:rPr>
      </w:pPr>
      <w:r w:rsidRPr="00F473C8">
        <w:rPr>
          <w:sz w:val="20"/>
        </w:rPr>
        <w:t>Option B. (10-1, 10-5)</w:t>
      </w:r>
    </w:p>
    <w:p w:rsidR="006124BA" w:rsidRPr="00F473C8" w:rsidRDefault="006124BA" w:rsidP="006124BA">
      <w:pPr>
        <w:pStyle w:val="ListParagraph"/>
        <w:numPr>
          <w:ilvl w:val="1"/>
          <w:numId w:val="27"/>
        </w:numPr>
        <w:overflowPunct w:val="0"/>
        <w:autoSpaceDE w:val="0"/>
        <w:autoSpaceDN w:val="0"/>
        <w:adjustRightInd w:val="0"/>
        <w:spacing w:after="180"/>
        <w:contextualSpacing/>
        <w:textAlignment w:val="baseline"/>
        <w:rPr>
          <w:sz w:val="20"/>
        </w:rPr>
      </w:pPr>
      <w:r w:rsidRPr="00F473C8">
        <w:rPr>
          <w:sz w:val="20"/>
        </w:rPr>
        <w:t>Note: The definition of the test case for the BLER target of 10-5 should take into account channel and interference variations and estimation errors.</w:t>
      </w:r>
    </w:p>
    <w:p w:rsidR="003A387F" w:rsidRPr="00920711" w:rsidRDefault="00920711" w:rsidP="003A387F">
      <w:pPr>
        <w:rPr>
          <w:b/>
          <w:sz w:val="24"/>
          <w:u w:val="single"/>
        </w:rPr>
      </w:pPr>
      <w:r>
        <w:rPr>
          <w:b/>
          <w:sz w:val="24"/>
          <w:highlight w:val="green"/>
          <w:u w:val="single"/>
        </w:rPr>
        <w:t>Agreement</w:t>
      </w:r>
      <w:r w:rsidR="003A387F" w:rsidRPr="00920711">
        <w:rPr>
          <w:b/>
          <w:sz w:val="24"/>
          <w:u w:val="single"/>
        </w:rPr>
        <w:t>:</w:t>
      </w:r>
    </w:p>
    <w:p w:rsidR="006124BA" w:rsidRPr="00F473C8" w:rsidRDefault="006124BA" w:rsidP="006124BA">
      <w:pPr>
        <w:pStyle w:val="ListParagraph"/>
        <w:numPr>
          <w:ilvl w:val="0"/>
          <w:numId w:val="27"/>
        </w:numPr>
        <w:overflowPunct w:val="0"/>
        <w:autoSpaceDE w:val="0"/>
        <w:autoSpaceDN w:val="0"/>
        <w:adjustRightInd w:val="0"/>
        <w:spacing w:after="180"/>
        <w:contextualSpacing/>
        <w:jc w:val="both"/>
        <w:textAlignment w:val="baseline"/>
        <w:rPr>
          <w:rFonts w:eastAsia="Arial Unicode MS"/>
          <w:sz w:val="20"/>
        </w:rPr>
      </w:pPr>
      <w:r w:rsidRPr="00F473C8">
        <w:rPr>
          <w:rFonts w:eastAsia="Arial Unicode MS"/>
          <w:sz w:val="20"/>
        </w:rPr>
        <w:t>Highest spectral efficiency for CQI based on 10-5 BLER target for URLLC is no more than 772/1024*6</w:t>
      </w:r>
    </w:p>
    <w:p w:rsidR="006124BA" w:rsidRPr="00F473C8" w:rsidRDefault="006124BA" w:rsidP="006124BA">
      <w:pPr>
        <w:pStyle w:val="ListParagraph"/>
        <w:numPr>
          <w:ilvl w:val="0"/>
          <w:numId w:val="27"/>
        </w:numPr>
        <w:overflowPunct w:val="0"/>
        <w:autoSpaceDE w:val="0"/>
        <w:autoSpaceDN w:val="0"/>
        <w:adjustRightInd w:val="0"/>
        <w:spacing w:after="180"/>
        <w:contextualSpacing/>
        <w:jc w:val="both"/>
        <w:textAlignment w:val="baseline"/>
        <w:rPr>
          <w:rFonts w:eastAsia="Arial Unicode MS"/>
          <w:sz w:val="20"/>
        </w:rPr>
      </w:pPr>
      <w:r w:rsidRPr="00F473C8">
        <w:rPr>
          <w:rFonts w:eastAsia="Arial Unicode MS"/>
          <w:sz w:val="20"/>
        </w:rPr>
        <w:t>Highest spectral efficiency for CQI based on 10-1 BLER target for URLLC is no more than 873/1024*6</w:t>
      </w:r>
    </w:p>
    <w:p w:rsidR="006124BA" w:rsidRPr="00F473C8" w:rsidRDefault="006124BA" w:rsidP="006124BA">
      <w:pPr>
        <w:pStyle w:val="ListParagraph"/>
        <w:numPr>
          <w:ilvl w:val="1"/>
          <w:numId w:val="27"/>
        </w:numPr>
        <w:overflowPunct w:val="0"/>
        <w:autoSpaceDE w:val="0"/>
        <w:autoSpaceDN w:val="0"/>
        <w:adjustRightInd w:val="0"/>
        <w:spacing w:after="180"/>
        <w:contextualSpacing/>
        <w:jc w:val="both"/>
        <w:textAlignment w:val="baseline"/>
        <w:rPr>
          <w:rFonts w:eastAsia="Arial Unicode MS"/>
          <w:sz w:val="20"/>
        </w:rPr>
      </w:pPr>
      <w:r w:rsidRPr="00F473C8">
        <w:rPr>
          <w:rFonts w:eastAsia="Arial Unicode MS"/>
          <w:sz w:val="20"/>
        </w:rPr>
        <w:t xml:space="preserve">It doesn’t necessarily mean that the CQI table introduced for eMBB </w:t>
      </w:r>
      <w:r w:rsidR="00D74C5D" w:rsidRPr="00F473C8">
        <w:rPr>
          <w:rFonts w:eastAsia="Arial Unicode MS"/>
          <w:sz w:val="20"/>
        </w:rPr>
        <w:t>cannot</w:t>
      </w:r>
      <w:r w:rsidRPr="00F473C8">
        <w:rPr>
          <w:rFonts w:eastAsia="Arial Unicode MS"/>
          <w:sz w:val="20"/>
        </w:rPr>
        <w:t xml:space="preserve"> be directly reused for URLLC – it’s still a separate discussion</w:t>
      </w:r>
    </w:p>
    <w:p w:rsidR="006124BA" w:rsidRPr="00F473C8" w:rsidRDefault="006124BA" w:rsidP="006124BA">
      <w:pPr>
        <w:pStyle w:val="ListParagraph"/>
        <w:numPr>
          <w:ilvl w:val="0"/>
          <w:numId w:val="27"/>
        </w:numPr>
        <w:overflowPunct w:val="0"/>
        <w:autoSpaceDE w:val="0"/>
        <w:autoSpaceDN w:val="0"/>
        <w:adjustRightInd w:val="0"/>
        <w:spacing w:after="180"/>
        <w:contextualSpacing/>
        <w:jc w:val="both"/>
        <w:textAlignment w:val="baseline"/>
        <w:rPr>
          <w:rFonts w:eastAsia="Arial Unicode MS"/>
          <w:sz w:val="20"/>
        </w:rPr>
      </w:pPr>
      <w:r w:rsidRPr="00F473C8">
        <w:rPr>
          <w:rFonts w:eastAsia="Arial Unicode MS"/>
          <w:sz w:val="20"/>
        </w:rPr>
        <w:t xml:space="preserve">Note that </w:t>
      </w:r>
    </w:p>
    <w:p w:rsidR="006124BA" w:rsidRPr="00F473C8" w:rsidRDefault="006124BA" w:rsidP="006124BA">
      <w:pPr>
        <w:pStyle w:val="ListParagraph"/>
        <w:numPr>
          <w:ilvl w:val="1"/>
          <w:numId w:val="27"/>
        </w:numPr>
        <w:overflowPunct w:val="0"/>
        <w:autoSpaceDE w:val="0"/>
        <w:autoSpaceDN w:val="0"/>
        <w:adjustRightInd w:val="0"/>
        <w:spacing w:after="180"/>
        <w:contextualSpacing/>
        <w:jc w:val="both"/>
        <w:textAlignment w:val="baseline"/>
        <w:rPr>
          <w:rFonts w:eastAsia="Arial Unicode MS"/>
          <w:sz w:val="20"/>
        </w:rPr>
      </w:pPr>
      <w:r w:rsidRPr="00F473C8">
        <w:rPr>
          <w:rFonts w:eastAsia="Arial Unicode MS"/>
          <w:sz w:val="20"/>
        </w:rPr>
        <w:t>Whether or not to have two tables or a single table covering both BLER targets is a separate issue</w:t>
      </w:r>
    </w:p>
    <w:p w:rsidR="003A387F" w:rsidRPr="00920711" w:rsidRDefault="003A387F" w:rsidP="003A387F">
      <w:pPr>
        <w:rPr>
          <w:b/>
          <w:sz w:val="24"/>
          <w:u w:val="single"/>
        </w:rPr>
      </w:pPr>
      <w:r w:rsidRPr="00920711">
        <w:rPr>
          <w:b/>
          <w:sz w:val="24"/>
          <w:highlight w:val="green"/>
          <w:u w:val="single"/>
        </w:rPr>
        <w:t>Agreement</w:t>
      </w:r>
      <w:r w:rsidRPr="00920711">
        <w:rPr>
          <w:b/>
          <w:sz w:val="24"/>
          <w:u w:val="single"/>
        </w:rPr>
        <w:t>:</w:t>
      </w:r>
    </w:p>
    <w:p w:rsidR="00302DBC" w:rsidRPr="00F473C8" w:rsidRDefault="00302DBC" w:rsidP="00302DBC">
      <w:pPr>
        <w:numPr>
          <w:ilvl w:val="0"/>
          <w:numId w:val="28"/>
        </w:numPr>
        <w:overflowPunct/>
        <w:autoSpaceDE/>
        <w:autoSpaceDN/>
        <w:adjustRightInd/>
        <w:spacing w:after="0"/>
        <w:textAlignment w:val="auto"/>
        <w:rPr>
          <w:rFonts w:asciiTheme="minorHAnsi" w:hAnsiTheme="minorHAnsi"/>
        </w:rPr>
      </w:pPr>
      <w:bookmarkStart w:id="1" w:name="_Ref378529477"/>
      <w:r w:rsidRPr="00F473C8">
        <w:rPr>
          <w:rFonts w:asciiTheme="minorHAnsi" w:hAnsiTheme="minorHAnsi"/>
        </w:rPr>
        <w:t>In total, there are two CQI tables for URLLC CQI reporting</w:t>
      </w:r>
    </w:p>
    <w:p w:rsidR="00302DBC" w:rsidRPr="00F473C8" w:rsidRDefault="00302DBC" w:rsidP="00302DBC">
      <w:pPr>
        <w:numPr>
          <w:ilvl w:val="1"/>
          <w:numId w:val="28"/>
        </w:numPr>
        <w:overflowPunct/>
        <w:autoSpaceDE/>
        <w:autoSpaceDN/>
        <w:adjustRightInd/>
        <w:spacing w:after="0"/>
        <w:textAlignment w:val="auto"/>
        <w:rPr>
          <w:rFonts w:asciiTheme="minorHAnsi" w:hAnsiTheme="minorHAnsi"/>
        </w:rPr>
      </w:pPr>
      <w:r w:rsidRPr="00F473C8">
        <w:rPr>
          <w:rFonts w:asciiTheme="minorHAnsi" w:hAnsiTheme="minorHAnsi"/>
        </w:rPr>
        <w:t xml:space="preserve">The first table </w:t>
      </w:r>
      <w:r w:rsidRPr="00F473C8">
        <w:rPr>
          <w:rFonts w:asciiTheme="minorHAnsi" w:hAnsiTheme="minorHAnsi"/>
          <w:bCs/>
        </w:rPr>
        <w:t xml:space="preserve">for URLLC CQI reporting </w:t>
      </w:r>
      <w:r w:rsidRPr="00F473C8">
        <w:rPr>
          <w:rFonts w:asciiTheme="minorHAnsi" w:hAnsiTheme="minorHAnsi"/>
        </w:rPr>
        <w:t xml:space="preserve">is the same as the existing </w:t>
      </w:r>
      <w:r w:rsidRPr="00F473C8">
        <w:rPr>
          <w:rFonts w:asciiTheme="minorHAnsi" w:hAnsiTheme="minorHAnsi"/>
          <w:bCs/>
        </w:rPr>
        <w:t>64QAM CQI table without any change, which is for BLER target 10-1 for URLLC</w:t>
      </w:r>
    </w:p>
    <w:p w:rsidR="00302DBC" w:rsidRPr="00F473C8" w:rsidRDefault="00302DBC" w:rsidP="00302DBC">
      <w:pPr>
        <w:numPr>
          <w:ilvl w:val="2"/>
          <w:numId w:val="28"/>
        </w:numPr>
        <w:overflowPunct/>
        <w:autoSpaceDE/>
        <w:autoSpaceDN/>
        <w:adjustRightInd/>
        <w:spacing w:after="0"/>
        <w:textAlignment w:val="auto"/>
        <w:rPr>
          <w:rFonts w:asciiTheme="minorHAnsi" w:hAnsiTheme="minorHAnsi"/>
        </w:rPr>
      </w:pPr>
      <w:r w:rsidRPr="00F473C8">
        <w:rPr>
          <w:rFonts w:asciiTheme="minorHAnsi" w:hAnsiTheme="minorHAnsi"/>
        </w:rPr>
        <w:t>Note: this means the agreement on “Highest spectral efficiency for CQI based on 10-1 BLER target for URLLC is no more than 873/1024*6” is overturned</w:t>
      </w:r>
    </w:p>
    <w:p w:rsidR="00302DBC" w:rsidRPr="00F473C8" w:rsidRDefault="00302DBC" w:rsidP="00302DBC">
      <w:pPr>
        <w:numPr>
          <w:ilvl w:val="1"/>
          <w:numId w:val="28"/>
        </w:numPr>
        <w:overflowPunct/>
        <w:autoSpaceDE/>
        <w:autoSpaceDN/>
        <w:adjustRightInd/>
        <w:spacing w:after="0"/>
        <w:textAlignment w:val="auto"/>
        <w:rPr>
          <w:rFonts w:asciiTheme="minorHAnsi" w:hAnsiTheme="minorHAnsi"/>
        </w:rPr>
      </w:pPr>
      <w:r w:rsidRPr="00F473C8">
        <w:rPr>
          <w:rFonts w:asciiTheme="minorHAnsi" w:hAnsiTheme="minorHAnsi"/>
        </w:rPr>
        <w:t>The new table will have entries corresponding to BLER target 10-5</w:t>
      </w:r>
    </w:p>
    <w:p w:rsidR="00302DBC" w:rsidRPr="00F473C8" w:rsidRDefault="00302DBC" w:rsidP="00302DBC">
      <w:pPr>
        <w:numPr>
          <w:ilvl w:val="0"/>
          <w:numId w:val="28"/>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For CSI reporting, the CQI field is 4-bit.</w:t>
      </w:r>
    </w:p>
    <w:p w:rsidR="00302DBC" w:rsidRPr="00920711" w:rsidRDefault="00920711" w:rsidP="00302DBC">
      <w:pPr>
        <w:ind w:left="720" w:hanging="720"/>
        <w:rPr>
          <w:b/>
          <w:sz w:val="24"/>
          <w:u w:val="single"/>
        </w:rPr>
      </w:pPr>
      <w:r>
        <w:rPr>
          <w:b/>
          <w:sz w:val="24"/>
          <w:highlight w:val="green"/>
          <w:u w:val="single"/>
        </w:rPr>
        <w:t>Agreement</w:t>
      </w:r>
      <w:r w:rsidR="00302DBC" w:rsidRPr="00920711">
        <w:rPr>
          <w:b/>
          <w:sz w:val="24"/>
          <w:u w:val="single"/>
        </w:rPr>
        <w:t>:</w:t>
      </w:r>
    </w:p>
    <w:p w:rsidR="00302DBC" w:rsidRPr="00F473C8" w:rsidRDefault="00302DBC" w:rsidP="00302DBC">
      <w:pPr>
        <w:numPr>
          <w:ilvl w:val="0"/>
          <w:numId w:val="28"/>
        </w:numPr>
        <w:overflowPunct/>
        <w:autoSpaceDE/>
        <w:autoSpaceDN/>
        <w:adjustRightInd/>
        <w:spacing w:after="0"/>
        <w:textAlignment w:val="auto"/>
        <w:rPr>
          <w:rFonts w:asciiTheme="minorHAnsi" w:hAnsiTheme="minorHAnsi"/>
        </w:rPr>
      </w:pPr>
      <w:r w:rsidRPr="00F473C8">
        <w:rPr>
          <w:rFonts w:asciiTheme="minorHAnsi" w:hAnsiTheme="minorHAnsi"/>
        </w:rPr>
        <w:t xml:space="preserve">For BLER 10-5, </w:t>
      </w:r>
    </w:p>
    <w:p w:rsidR="00302DBC" w:rsidRPr="00F473C8" w:rsidRDefault="00302DBC" w:rsidP="00302DBC">
      <w:pPr>
        <w:numPr>
          <w:ilvl w:val="0"/>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Companies are encouraged to perform simulations for the new CQI table for URLLC, including</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 xml:space="preserve">The lowest SE entry </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E.g., 30~50/1024*2</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lastRenderedPageBreak/>
        <w:t>Note that the highest SE entry of no more than 772/1024*6 is already agreed</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Consider using approximately equally spaced SNR values</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Other options are not precluded</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Whether or not some existing CQI entries for BLER 10-1 can be reused</w:t>
      </w:r>
    </w:p>
    <w:p w:rsidR="00302DBC" w:rsidRPr="00F473C8" w:rsidRDefault="00302DBC" w:rsidP="00302DBC">
      <w:pPr>
        <w:numPr>
          <w:ilvl w:val="3"/>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Consider exsiting CQI entires when applicable</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In total 15 CQI entries (+1 OOR entry)</w:t>
      </w:r>
    </w:p>
    <w:p w:rsidR="00302DBC" w:rsidRPr="00F473C8" w:rsidRDefault="00302DBC" w:rsidP="00302DBC">
      <w:pPr>
        <w:numPr>
          <w:ilvl w:val="0"/>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In performing the simulations, consider</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Fading channel (TDL-A, 30ns) &amp; (TDL-C, 300ns)</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Other options are not precluded</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Payload of 32 bytes</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Other payload sizes can also be considered, up to each company</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SNR at 5% geometry for the lowest SE entry</w:t>
      </w:r>
    </w:p>
    <w:p w:rsidR="00302DBC" w:rsidRPr="00F473C8" w:rsidRDefault="00302DBC" w:rsidP="00302DBC">
      <w:pPr>
        <w:numPr>
          <w:ilvl w:val="2"/>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Other options are not precluded</w:t>
      </w:r>
    </w:p>
    <w:p w:rsidR="00302DBC" w:rsidRPr="00F473C8" w:rsidRDefault="00302DBC" w:rsidP="00302DBC">
      <w:pPr>
        <w:numPr>
          <w:ilvl w:val="1"/>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For other simulation assumptions, refer to agreements from RAN1#92</w:t>
      </w:r>
    </w:p>
    <w:p w:rsidR="00302DBC" w:rsidRDefault="00302DBC" w:rsidP="00302DBC">
      <w:pPr>
        <w:numPr>
          <w:ilvl w:val="0"/>
          <w:numId w:val="29"/>
        </w:numPr>
        <w:overflowPunct/>
        <w:autoSpaceDE/>
        <w:autoSpaceDN/>
        <w:adjustRightInd/>
        <w:contextualSpacing/>
        <w:textAlignment w:val="auto"/>
        <w:rPr>
          <w:rFonts w:asciiTheme="minorHAnsi" w:hAnsiTheme="minorHAnsi"/>
          <w:lang w:eastAsia="x-none"/>
        </w:rPr>
      </w:pPr>
      <w:r w:rsidRPr="00F473C8">
        <w:rPr>
          <w:rFonts w:asciiTheme="minorHAnsi" w:hAnsiTheme="minorHAnsi"/>
          <w:lang w:eastAsia="x-none"/>
        </w:rPr>
        <w:t xml:space="preserve">Similar considerations are also applicable to the MCS table evaluations </w:t>
      </w:r>
    </w:p>
    <w:p w:rsidR="00490F34" w:rsidRDefault="00490F34" w:rsidP="00490F34">
      <w:pPr>
        <w:overflowPunct/>
        <w:autoSpaceDE/>
        <w:autoSpaceDN/>
        <w:adjustRightInd/>
        <w:contextualSpacing/>
        <w:textAlignment w:val="auto"/>
        <w:rPr>
          <w:rFonts w:asciiTheme="minorHAnsi" w:hAnsiTheme="minorHAnsi"/>
          <w:lang w:eastAsia="x-none"/>
        </w:rPr>
      </w:pPr>
    </w:p>
    <w:p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In this contribution, we discuss in detail the remaining issues of CQI/MCS reporting</w:t>
      </w:r>
      <w:r>
        <w:rPr>
          <w:sz w:val="24"/>
          <w:lang w:eastAsia="x-none"/>
        </w:rPr>
        <w:t>.</w:t>
      </w:r>
    </w:p>
    <w:p w:rsidR="00822CF7" w:rsidRDefault="00806A67" w:rsidP="00822CF7">
      <w:pPr>
        <w:pStyle w:val="Heading1"/>
        <w:rPr>
          <w:lang w:val="en-US"/>
        </w:rPr>
      </w:pPr>
      <w:r>
        <w:rPr>
          <w:lang w:val="en-US"/>
        </w:rPr>
        <w:t xml:space="preserve">CQI Reporting for URLLC </w:t>
      </w:r>
    </w:p>
    <w:p w:rsidR="00484E13" w:rsidRDefault="003A387F" w:rsidP="00214BB7">
      <w:pPr>
        <w:contextualSpacing/>
        <w:jc w:val="both"/>
        <w:rPr>
          <w:sz w:val="24"/>
        </w:rPr>
      </w:pPr>
      <w:r w:rsidRPr="00214BB7">
        <w:rPr>
          <w:sz w:val="24"/>
        </w:rPr>
        <w:t xml:space="preserve">In the previous meeting it was decided to use two BLER thresholds for CQI reporting. </w:t>
      </w:r>
      <w:r w:rsidR="004707F9">
        <w:rPr>
          <w:sz w:val="24"/>
        </w:rPr>
        <w:t xml:space="preserve">That is </w:t>
      </w:r>
      <w:r w:rsidRPr="00214BB7">
        <w:rPr>
          <w:sz w:val="24"/>
        </w:rPr>
        <w:t xml:space="preserve">Option B </w:t>
      </w:r>
      <w:r w:rsidR="00214BB7" w:rsidRPr="00DA5CDF">
        <w:t>(10</w:t>
      </w:r>
      <w:r w:rsidR="00214BB7" w:rsidRPr="00214BB7">
        <w:rPr>
          <w:vertAlign w:val="superscript"/>
        </w:rPr>
        <w:t>-1</w:t>
      </w:r>
      <w:r w:rsidR="00214BB7" w:rsidRPr="00DA5CDF">
        <w:t>, 10</w:t>
      </w:r>
      <w:r w:rsidR="00214BB7" w:rsidRPr="00214BB7">
        <w:rPr>
          <w:vertAlign w:val="superscript"/>
        </w:rPr>
        <w:t>-5</w:t>
      </w:r>
      <w:r w:rsidR="00214BB7" w:rsidRPr="00DA5CDF">
        <w:t>)</w:t>
      </w:r>
      <w:r w:rsidR="00214BB7">
        <w:t xml:space="preserve">. </w:t>
      </w:r>
      <w:r w:rsidR="00490F34">
        <w:t xml:space="preserve"> </w:t>
      </w:r>
      <w:r w:rsidR="00214BB7">
        <w:t xml:space="preserve"> </w:t>
      </w:r>
      <w:r w:rsidR="00490F34">
        <w:rPr>
          <w:sz w:val="24"/>
        </w:rPr>
        <w:t xml:space="preserve"> However, it is not clear </w:t>
      </w:r>
      <w:r w:rsidR="00484E13">
        <w:rPr>
          <w:sz w:val="24"/>
        </w:rPr>
        <w:t>how</w:t>
      </w:r>
      <w:r w:rsidR="00490F34">
        <w:rPr>
          <w:sz w:val="24"/>
        </w:rPr>
        <w:t xml:space="preserve"> </w:t>
      </w:r>
      <w:r w:rsidR="00484E13">
        <w:rPr>
          <w:sz w:val="24"/>
        </w:rPr>
        <w:t xml:space="preserve">the UE reports these two CQI corresponding to these two thresholds.   We envision two </w:t>
      </w:r>
      <w:r w:rsidR="00404CC0">
        <w:rPr>
          <w:sz w:val="24"/>
        </w:rPr>
        <w:t xml:space="preserve">design </w:t>
      </w:r>
      <w:r w:rsidR="00484E13">
        <w:rPr>
          <w:sz w:val="24"/>
        </w:rPr>
        <w:t>options for reporting t</w:t>
      </w:r>
      <w:r w:rsidR="00404CC0">
        <w:rPr>
          <w:sz w:val="24"/>
        </w:rPr>
        <w:t>wo</w:t>
      </w:r>
      <w:r w:rsidR="00484E13">
        <w:rPr>
          <w:sz w:val="24"/>
        </w:rPr>
        <w:t xml:space="preserve"> CQIs </w:t>
      </w:r>
      <w:r w:rsidR="003C0F81">
        <w:rPr>
          <w:sz w:val="24"/>
        </w:rPr>
        <w:t xml:space="preserve">corresponding to the two thresholds </w:t>
      </w:r>
      <w:r w:rsidR="00484E13">
        <w:rPr>
          <w:sz w:val="24"/>
        </w:rPr>
        <w:t>without significant changes to the CQI reporting for eMBB in Release 15.</w:t>
      </w:r>
    </w:p>
    <w:p w:rsidR="003C0F81" w:rsidRPr="00006144" w:rsidRDefault="003C0F81" w:rsidP="003C0F81">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U</w:t>
      </w:r>
      <w:r>
        <w:rPr>
          <w:rFonts w:ascii="Times New Roman" w:eastAsia="MS Mincho" w:hAnsi="Times New Roman"/>
          <w:iCs/>
          <w:sz w:val="24"/>
          <w:szCs w:val="24"/>
        </w:rPr>
        <w:t>se the existing CQI reporting for multi codeword</w:t>
      </w:r>
    </w:p>
    <w:p w:rsidR="003C0F81" w:rsidRPr="00DD5471" w:rsidRDefault="003C0F81" w:rsidP="003C0F81">
      <w:pPr>
        <w:pStyle w:val="ListParagraph"/>
        <w:numPr>
          <w:ilvl w:val="0"/>
          <w:numId w:val="15"/>
        </w:numPr>
        <w:overflowPunct w:val="0"/>
        <w:autoSpaceDE w:val="0"/>
        <w:autoSpaceDN w:val="0"/>
        <w:adjustRightInd w:val="0"/>
        <w:spacing w:after="180"/>
        <w:contextualSpacing/>
        <w:textAlignment w:val="baseline"/>
        <w:rPr>
          <w:sz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Introduce a new signaling for BLER threshold as part of  CSI report setting</w:t>
      </w:r>
    </w:p>
    <w:p w:rsidR="003C0F81" w:rsidRDefault="001578AE" w:rsidP="00214BB7">
      <w:pPr>
        <w:contextualSpacing/>
        <w:jc w:val="both"/>
        <w:rPr>
          <w:sz w:val="24"/>
        </w:rPr>
      </w:pPr>
      <w:r>
        <w:rPr>
          <w:sz w:val="24"/>
        </w:rPr>
        <w:t>For the first design option, we can reuse CQI reporting for multi codeword for eMBB.  Table 1 shows the existing summary of existing CSI reporting.</w:t>
      </w:r>
    </w:p>
    <w:p w:rsidR="00890365" w:rsidRDefault="00890365" w:rsidP="00890365">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Existing CSI reporting for eMBB</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1865"/>
        <w:gridCol w:w="1530"/>
        <w:gridCol w:w="2046"/>
      </w:tblGrid>
      <w:tr w:rsidR="001578AE" w:rsidTr="0057461E">
        <w:trPr>
          <w:trHeight w:val="638"/>
          <w:jc w:val="center"/>
        </w:trPr>
        <w:tc>
          <w:tcPr>
            <w:tcW w:w="5330" w:type="dxa"/>
            <w:vMerge w:val="restart"/>
            <w:shd w:val="clear" w:color="auto" w:fill="E0E0E0"/>
            <w:vAlign w:val="center"/>
          </w:tcPr>
          <w:p w:rsidR="001578AE" w:rsidRPr="0018376C" w:rsidRDefault="001578AE" w:rsidP="0057461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tcW w:w="5441" w:type="dxa"/>
            <w:gridSpan w:val="3"/>
            <w:shd w:val="clear" w:color="auto" w:fill="E0E0E0"/>
          </w:tcPr>
          <w:p w:rsidR="001578AE" w:rsidRPr="0018376C" w:rsidRDefault="001578AE" w:rsidP="0057461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rsidTr="0057461E">
        <w:trPr>
          <w:trHeight w:val="150"/>
          <w:jc w:val="center"/>
        </w:trPr>
        <w:tc>
          <w:tcPr>
            <w:tcW w:w="5330" w:type="dxa"/>
            <w:vMerge/>
            <w:shd w:val="clear" w:color="auto" w:fill="E0E0E0"/>
            <w:vAlign w:val="center"/>
          </w:tcPr>
          <w:p w:rsidR="001578AE" w:rsidRPr="00364FA8" w:rsidRDefault="001578AE" w:rsidP="0057461E">
            <w:pPr>
              <w:pStyle w:val="TAH"/>
              <w:rPr>
                <w:i/>
                <w:lang w:val="en-US" w:eastAsia="zh-CN"/>
              </w:rPr>
            </w:pPr>
          </w:p>
        </w:tc>
        <w:tc>
          <w:tcPr>
            <w:tcW w:w="1865" w:type="dxa"/>
            <w:vMerge w:val="restart"/>
            <w:shd w:val="clear" w:color="auto" w:fill="E0E0E0"/>
          </w:tcPr>
          <w:p w:rsidR="001578AE" w:rsidRPr="00D74C73" w:rsidRDefault="001578AE" w:rsidP="0057461E">
            <w:pPr>
              <w:pStyle w:val="TAH"/>
              <w:rPr>
                <w:i/>
                <w:lang w:val="en-US" w:eastAsia="zh-CN"/>
              </w:rPr>
            </w:pPr>
            <w:r>
              <w:rPr>
                <w:i/>
                <w:lang w:val="en-US" w:eastAsia="zh-CN"/>
              </w:rPr>
              <w:t>CSI Part I</w:t>
            </w:r>
          </w:p>
        </w:tc>
        <w:tc>
          <w:tcPr>
            <w:tcW w:w="3576" w:type="dxa"/>
            <w:gridSpan w:val="2"/>
            <w:shd w:val="clear" w:color="auto" w:fill="E0E0E0"/>
          </w:tcPr>
          <w:p w:rsidR="001578AE" w:rsidRPr="00D74C73" w:rsidRDefault="001578AE" w:rsidP="0057461E">
            <w:pPr>
              <w:pStyle w:val="TAH"/>
              <w:rPr>
                <w:i/>
                <w:lang w:val="en-US" w:eastAsia="zh-CN"/>
              </w:rPr>
            </w:pPr>
            <w:r>
              <w:rPr>
                <w:i/>
                <w:lang w:val="en-US" w:eastAsia="zh-CN"/>
              </w:rPr>
              <w:t>CSI Part II</w:t>
            </w:r>
          </w:p>
        </w:tc>
      </w:tr>
      <w:tr w:rsidR="001578AE" w:rsidTr="0057461E">
        <w:trPr>
          <w:trHeight w:val="98"/>
          <w:jc w:val="center"/>
        </w:trPr>
        <w:tc>
          <w:tcPr>
            <w:tcW w:w="5330" w:type="dxa"/>
            <w:vMerge/>
            <w:shd w:val="clear" w:color="auto" w:fill="E0E0E0"/>
            <w:vAlign w:val="center"/>
          </w:tcPr>
          <w:p w:rsidR="001578AE" w:rsidRPr="00364FA8" w:rsidRDefault="001578AE" w:rsidP="0057461E">
            <w:pPr>
              <w:pStyle w:val="TAH"/>
              <w:rPr>
                <w:i/>
                <w:lang w:val="en-US" w:eastAsia="zh-CN"/>
              </w:rPr>
            </w:pPr>
          </w:p>
        </w:tc>
        <w:tc>
          <w:tcPr>
            <w:tcW w:w="1865" w:type="dxa"/>
            <w:vMerge/>
            <w:shd w:val="clear" w:color="auto" w:fill="E0E0E0"/>
          </w:tcPr>
          <w:p w:rsidR="001578AE" w:rsidRDefault="001578AE" w:rsidP="0057461E">
            <w:pPr>
              <w:pStyle w:val="TAH"/>
              <w:rPr>
                <w:i/>
                <w:lang w:val="en-US" w:eastAsia="zh-CN"/>
              </w:rPr>
            </w:pPr>
          </w:p>
        </w:tc>
        <w:tc>
          <w:tcPr>
            <w:tcW w:w="1530" w:type="dxa"/>
            <w:shd w:val="clear" w:color="auto" w:fill="E0E0E0"/>
          </w:tcPr>
          <w:p w:rsidR="001578AE" w:rsidRDefault="001578AE" w:rsidP="0057461E">
            <w:pPr>
              <w:pStyle w:val="TAH"/>
              <w:rPr>
                <w:i/>
                <w:lang w:val="en-US" w:eastAsia="zh-CN"/>
              </w:rPr>
            </w:pPr>
            <w:r>
              <w:rPr>
                <w:i/>
                <w:lang w:val="en-US" w:eastAsia="zh-CN"/>
              </w:rPr>
              <w:t>wideband</w:t>
            </w:r>
          </w:p>
        </w:tc>
        <w:tc>
          <w:tcPr>
            <w:tcW w:w="2046" w:type="dxa"/>
            <w:shd w:val="clear" w:color="auto" w:fill="E0E0E0"/>
          </w:tcPr>
          <w:p w:rsidR="001578AE" w:rsidRDefault="001578AE" w:rsidP="0057461E">
            <w:pPr>
              <w:pStyle w:val="TAH"/>
              <w:rPr>
                <w:i/>
                <w:lang w:val="en-US" w:eastAsia="zh-CN"/>
              </w:rPr>
            </w:pPr>
            <w:r>
              <w:rPr>
                <w:i/>
                <w:lang w:val="en-US" w:eastAsia="zh-CN"/>
              </w:rPr>
              <w:t>Sideband</w:t>
            </w:r>
          </w:p>
        </w:tc>
      </w:tr>
      <w:tr w:rsidR="001578AE" w:rsidRPr="0018376C" w:rsidTr="0057461E">
        <w:trPr>
          <w:trHeight w:val="214"/>
          <w:jc w:val="center"/>
        </w:trPr>
        <w:tc>
          <w:tcPr>
            <w:tcW w:w="5330"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CRI </w:t>
            </w:r>
          </w:p>
        </w:tc>
        <w:tc>
          <w:tcPr>
            <w:tcW w:w="1865" w:type="dxa"/>
          </w:tcPr>
          <w:p w:rsidR="001578AE" w:rsidRPr="0018376C" w:rsidRDefault="001578AE" w:rsidP="0057461E">
            <w:pPr>
              <w:pStyle w:val="TAC"/>
              <w:rPr>
                <w:b/>
                <w:sz w:val="20"/>
                <w:lang w:eastAsia="zh-CN"/>
              </w:rPr>
            </w:pPr>
            <w:r w:rsidRPr="0018376C">
              <w:rPr>
                <w:rFonts w:hint="eastAsia"/>
                <w:b/>
                <w:sz w:val="20"/>
                <w:lang w:eastAsia="zh-CN"/>
              </w:rPr>
              <w:t>CRI</w:t>
            </w:r>
          </w:p>
        </w:tc>
        <w:tc>
          <w:tcPr>
            <w:tcW w:w="1530" w:type="dxa"/>
          </w:tcPr>
          <w:p w:rsidR="001578AE" w:rsidRPr="0018376C" w:rsidRDefault="001578AE" w:rsidP="0057461E">
            <w:pPr>
              <w:pStyle w:val="TAC"/>
              <w:rPr>
                <w:b/>
                <w:sz w:val="20"/>
                <w:lang w:eastAsia="zh-CN"/>
              </w:rPr>
            </w:pPr>
            <w:r w:rsidRPr="0018376C">
              <w:rPr>
                <w:b/>
                <w:sz w:val="20"/>
                <w:lang w:eastAsia="zh-CN"/>
              </w:rPr>
              <w:t>W</w:t>
            </w:r>
            <w:r w:rsidRPr="0018376C">
              <w:rPr>
                <w:rFonts w:hint="eastAsia"/>
                <w:b/>
                <w:sz w:val="20"/>
                <w:lang w:eastAsia="zh-CN"/>
              </w:rPr>
              <w:t>ideband CQI for the second TB</w:t>
            </w:r>
          </w:p>
        </w:tc>
        <w:tc>
          <w:tcPr>
            <w:tcW w:w="2046" w:type="dxa"/>
          </w:tcPr>
          <w:p w:rsidR="001578AE" w:rsidRPr="0018376C" w:rsidRDefault="001578AE" w:rsidP="0057461E">
            <w:pPr>
              <w:pStyle w:val="TAC"/>
              <w:rPr>
                <w:b/>
                <w:sz w:val="20"/>
                <w:lang w:eastAsia="zh-CN"/>
              </w:rPr>
            </w:pPr>
            <w:r w:rsidRPr="0018376C">
              <w:rPr>
                <w:b/>
                <w:sz w:val="20"/>
                <w:lang w:eastAsia="zh-CN"/>
              </w:rPr>
              <w:t>S</w:t>
            </w:r>
            <w:r w:rsidRPr="0018376C">
              <w:rPr>
                <w:rFonts w:hint="eastAsia"/>
                <w:b/>
                <w:sz w:val="20"/>
                <w:lang w:eastAsia="zh-CN"/>
              </w:rPr>
              <w:t>ubband differential CQI for the second TB of all even subbands</w:t>
            </w:r>
          </w:p>
        </w:tc>
      </w:tr>
      <w:tr w:rsidR="001578AE" w:rsidRPr="0018376C" w:rsidTr="0057461E">
        <w:trPr>
          <w:trHeight w:val="221"/>
          <w:jc w:val="center"/>
        </w:trPr>
        <w:tc>
          <w:tcPr>
            <w:tcW w:w="5330"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Rank Indicator </w:t>
            </w:r>
          </w:p>
        </w:tc>
        <w:tc>
          <w:tcPr>
            <w:tcW w:w="1865" w:type="dxa"/>
          </w:tcPr>
          <w:p w:rsidR="001578AE" w:rsidRPr="0018376C" w:rsidRDefault="001578AE" w:rsidP="0057461E">
            <w:pPr>
              <w:pStyle w:val="TAC"/>
              <w:rPr>
                <w:b/>
                <w:sz w:val="20"/>
                <w:lang w:eastAsia="zh-CN"/>
              </w:rPr>
            </w:pPr>
            <w:r w:rsidRPr="0018376C">
              <w:rPr>
                <w:b/>
                <w:sz w:val="20"/>
                <w:lang w:eastAsia="zh-CN"/>
              </w:rPr>
              <w:t>Rank Indicator</w:t>
            </w:r>
          </w:p>
        </w:tc>
        <w:tc>
          <w:tcPr>
            <w:tcW w:w="1530" w:type="dxa"/>
          </w:tcPr>
          <w:p w:rsidR="001578AE" w:rsidRPr="0018376C" w:rsidRDefault="001578AE" w:rsidP="0057461E">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2046" w:type="dxa"/>
          </w:tcPr>
          <w:p w:rsidR="001578AE" w:rsidRPr="0018376C" w:rsidRDefault="001578AE" w:rsidP="0057461E">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8" o:title=""/>
                </v:shape>
                <o:OLEObject Type="Embed" ProgID="Equation.3" ShapeID="_x0000_i1025" DrawAspect="Content" ObjectID="_1587562743" r:id="rId9"/>
              </w:object>
            </w:r>
            <w:r w:rsidRPr="0018376C">
              <w:rPr>
                <w:rFonts w:hint="eastAsia"/>
                <w:b/>
                <w:sz w:val="20"/>
                <w:lang w:eastAsia="zh-CN"/>
              </w:rPr>
              <w:t xml:space="preserve"> of all even subbands</w:t>
            </w:r>
          </w:p>
        </w:tc>
      </w:tr>
      <w:tr w:rsidR="001578AE" w:rsidRPr="0018376C" w:rsidTr="0057461E">
        <w:trPr>
          <w:trHeight w:val="221"/>
          <w:jc w:val="center"/>
        </w:trPr>
        <w:tc>
          <w:tcPr>
            <w:tcW w:w="5330"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Layer Indicator </w:t>
            </w:r>
          </w:p>
        </w:tc>
        <w:tc>
          <w:tcPr>
            <w:tcW w:w="1865" w:type="dxa"/>
          </w:tcPr>
          <w:p w:rsidR="001578AE" w:rsidRPr="0018376C" w:rsidRDefault="001578AE" w:rsidP="0057461E">
            <w:pPr>
              <w:pStyle w:val="TAC"/>
              <w:rPr>
                <w:b/>
                <w:sz w:val="20"/>
                <w:lang w:eastAsia="zh-CN"/>
              </w:rPr>
            </w:pPr>
            <w:r w:rsidRPr="0018376C">
              <w:rPr>
                <w:rFonts w:hint="eastAsia"/>
                <w:b/>
                <w:sz w:val="20"/>
                <w:lang w:eastAsia="zh-CN"/>
              </w:rPr>
              <w:t>Layer Indicator</w:t>
            </w:r>
          </w:p>
        </w:tc>
        <w:tc>
          <w:tcPr>
            <w:tcW w:w="1530" w:type="dxa"/>
          </w:tcPr>
          <w:p w:rsidR="001578AE" w:rsidRPr="0018376C" w:rsidRDefault="001578AE" w:rsidP="0057461E">
            <w:pPr>
              <w:pStyle w:val="TAC"/>
              <w:rPr>
                <w:b/>
                <w:sz w:val="20"/>
                <w:lang w:eastAsia="zh-CN"/>
              </w:rPr>
            </w:pPr>
            <w:r w:rsidRPr="0018376C">
              <w:rPr>
                <w:b/>
                <w:sz w:val="20"/>
                <w:lang w:eastAsia="zh-CN"/>
              </w:rPr>
              <w:t>---------</w:t>
            </w:r>
          </w:p>
        </w:tc>
        <w:tc>
          <w:tcPr>
            <w:tcW w:w="2046" w:type="dxa"/>
          </w:tcPr>
          <w:p w:rsidR="001578AE" w:rsidRPr="0018376C" w:rsidRDefault="001578AE" w:rsidP="0057461E">
            <w:pPr>
              <w:pStyle w:val="TAC"/>
              <w:rPr>
                <w:b/>
                <w:sz w:val="20"/>
                <w:lang w:eastAsia="zh-CN"/>
              </w:rPr>
            </w:pPr>
            <w:r w:rsidRPr="0018376C">
              <w:rPr>
                <w:b/>
                <w:sz w:val="20"/>
                <w:lang w:eastAsia="zh-CN"/>
              </w:rPr>
              <w:t>S</w:t>
            </w:r>
            <w:r w:rsidRPr="0018376C">
              <w:rPr>
                <w:rFonts w:hint="eastAsia"/>
                <w:b/>
                <w:sz w:val="20"/>
                <w:lang w:eastAsia="zh-CN"/>
              </w:rPr>
              <w:t>ubband differential CQI for the second TB of all odd subbands</w:t>
            </w:r>
          </w:p>
        </w:tc>
      </w:tr>
      <w:tr w:rsidR="001578AE" w:rsidRPr="0018376C" w:rsidTr="0057461E">
        <w:trPr>
          <w:trHeight w:val="339"/>
          <w:jc w:val="center"/>
        </w:trPr>
        <w:tc>
          <w:tcPr>
            <w:tcW w:w="5330"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1865" w:type="dxa"/>
          </w:tcPr>
          <w:p w:rsidR="001578AE" w:rsidRPr="0018376C" w:rsidRDefault="001578AE" w:rsidP="0057461E">
            <w:pPr>
              <w:pStyle w:val="TAC"/>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rsidR="001578AE" w:rsidRPr="0018376C" w:rsidRDefault="001578AE" w:rsidP="0057461E">
            <w:pPr>
              <w:pStyle w:val="TAC"/>
              <w:rPr>
                <w:b/>
                <w:sz w:val="20"/>
                <w:lang w:eastAsia="zh-CN"/>
              </w:rPr>
            </w:pPr>
            <w:r w:rsidRPr="0018376C">
              <w:rPr>
                <w:b/>
                <w:sz w:val="20"/>
                <w:lang w:eastAsia="zh-CN"/>
              </w:rPr>
              <w:t>---------</w:t>
            </w:r>
          </w:p>
        </w:tc>
        <w:tc>
          <w:tcPr>
            <w:tcW w:w="2046" w:type="dxa"/>
          </w:tcPr>
          <w:p w:rsidR="001578AE" w:rsidRPr="0018376C" w:rsidRDefault="001578AE" w:rsidP="0057461E">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v:shape id="_x0000_i1026" type="#_x0000_t75" style="width:17.3pt;height:17.3pt" o:ole="">
                  <v:imagedata r:id="rId8" o:title=""/>
                </v:shape>
                <o:OLEObject Type="Embed" ProgID="Equation.3" ShapeID="_x0000_i1026" DrawAspect="Content" ObjectID="_1587562744" r:id="rId10"/>
              </w:object>
            </w:r>
            <w:r w:rsidRPr="0018376C">
              <w:rPr>
                <w:rFonts w:hint="eastAsia"/>
                <w:b/>
                <w:sz w:val="20"/>
                <w:lang w:eastAsia="zh-CN"/>
              </w:rPr>
              <w:t xml:space="preserve"> of all odd subbands</w:t>
            </w:r>
          </w:p>
        </w:tc>
      </w:tr>
      <w:tr w:rsidR="001578AE" w:rsidRPr="0018376C" w:rsidTr="0057461E">
        <w:trPr>
          <w:trHeight w:val="221"/>
          <w:jc w:val="center"/>
        </w:trPr>
        <w:tc>
          <w:tcPr>
            <w:tcW w:w="5330" w:type="dxa"/>
            <w:vAlign w:val="center"/>
          </w:tcPr>
          <w:p w:rsidR="001578AE" w:rsidRPr="0018376C" w:rsidRDefault="001578AE" w:rsidP="0057461E">
            <w:pPr>
              <w:pStyle w:val="TAC"/>
              <w:rPr>
                <w:b/>
                <w:sz w:val="20"/>
                <w:lang w:eastAsia="zh-CN"/>
              </w:rPr>
            </w:pPr>
            <w:r w:rsidRPr="0018376C">
              <w:rPr>
                <w:b/>
                <w:sz w:val="20"/>
                <w:lang w:eastAsia="zh-CN"/>
              </w:rPr>
              <w:t>W</w:t>
            </w:r>
            <w:r w:rsidRPr="0018376C">
              <w:rPr>
                <w:rFonts w:hint="eastAsia"/>
                <w:b/>
                <w:sz w:val="20"/>
                <w:lang w:eastAsia="zh-CN"/>
              </w:rPr>
              <w:t xml:space="preserve">ideband CQI </w:t>
            </w:r>
          </w:p>
        </w:tc>
        <w:tc>
          <w:tcPr>
            <w:tcW w:w="1865" w:type="dxa"/>
          </w:tcPr>
          <w:p w:rsidR="001578AE" w:rsidRPr="0018376C" w:rsidRDefault="001578AE" w:rsidP="0057461E">
            <w:pPr>
              <w:pStyle w:val="TAC"/>
              <w:rPr>
                <w:b/>
                <w:sz w:val="20"/>
                <w:lang w:eastAsia="zh-CN"/>
              </w:rPr>
            </w:pPr>
            <w:r w:rsidRPr="0018376C">
              <w:rPr>
                <w:b/>
                <w:sz w:val="20"/>
                <w:lang w:eastAsia="zh-CN"/>
              </w:rPr>
              <w:t>S</w:t>
            </w:r>
            <w:r w:rsidRPr="0018376C">
              <w:rPr>
                <w:rFonts w:hint="eastAsia"/>
                <w:b/>
                <w:sz w:val="20"/>
                <w:lang w:eastAsia="zh-CN"/>
              </w:rPr>
              <w:t>ubband differential CQI for the first TB</w:t>
            </w:r>
          </w:p>
        </w:tc>
        <w:tc>
          <w:tcPr>
            <w:tcW w:w="1530" w:type="dxa"/>
          </w:tcPr>
          <w:p w:rsidR="001578AE" w:rsidRPr="0018376C" w:rsidRDefault="001578AE" w:rsidP="0057461E">
            <w:pPr>
              <w:pStyle w:val="TAC"/>
              <w:rPr>
                <w:b/>
                <w:sz w:val="20"/>
                <w:lang w:eastAsia="zh-CN"/>
              </w:rPr>
            </w:pPr>
            <w:r w:rsidRPr="0018376C">
              <w:rPr>
                <w:b/>
                <w:sz w:val="20"/>
                <w:lang w:eastAsia="zh-CN"/>
              </w:rPr>
              <w:t>---------</w:t>
            </w:r>
          </w:p>
        </w:tc>
        <w:tc>
          <w:tcPr>
            <w:tcW w:w="2046" w:type="dxa"/>
          </w:tcPr>
          <w:p w:rsidR="001578AE" w:rsidRPr="0018376C" w:rsidRDefault="001578AE" w:rsidP="0057461E">
            <w:pPr>
              <w:pStyle w:val="TAC"/>
              <w:rPr>
                <w:b/>
                <w:sz w:val="20"/>
                <w:lang w:eastAsia="zh-CN"/>
              </w:rPr>
            </w:pPr>
            <w:r w:rsidRPr="0018376C">
              <w:rPr>
                <w:b/>
                <w:sz w:val="20"/>
                <w:lang w:eastAsia="zh-CN"/>
              </w:rPr>
              <w:t>---------</w:t>
            </w:r>
          </w:p>
        </w:tc>
      </w:tr>
    </w:tbl>
    <w:p w:rsidR="001578AE" w:rsidRDefault="001578AE" w:rsidP="00214BB7">
      <w:pPr>
        <w:contextualSpacing/>
        <w:jc w:val="both"/>
        <w:rPr>
          <w:sz w:val="24"/>
        </w:rPr>
      </w:pPr>
    </w:p>
    <w:p w:rsidR="001578AE" w:rsidRDefault="001578AE" w:rsidP="00214BB7">
      <w:pPr>
        <w:contextualSpacing/>
        <w:jc w:val="both"/>
        <w:rPr>
          <w:sz w:val="24"/>
        </w:rPr>
      </w:pPr>
      <w:r>
        <w:rPr>
          <w:sz w:val="24"/>
        </w:rPr>
        <w:t>Note that CQI corresponding to the second TB is reported when the rank indicator is greater than 4. Since it is already decided to have single TB of URLLC, we can reuse the existing CQI reporting by replacing the second TB with CQI with a different threshold</w:t>
      </w:r>
      <w:r w:rsidR="00890365">
        <w:rPr>
          <w:sz w:val="24"/>
        </w:rPr>
        <w:t xml:space="preserve"> say 10^(-5) </w:t>
      </w:r>
      <w:r>
        <w:rPr>
          <w:sz w:val="24"/>
        </w:rPr>
        <w:t>as shown in Table 2</w:t>
      </w:r>
      <w:r w:rsidR="00556F5D">
        <w:rPr>
          <w:sz w:val="24"/>
        </w:rPr>
        <w:t>.</w:t>
      </w:r>
    </w:p>
    <w:p w:rsidR="001578AE" w:rsidRDefault="001578AE" w:rsidP="00214BB7">
      <w:pPr>
        <w:contextualSpacing/>
        <w:jc w:val="both"/>
        <w:rPr>
          <w:sz w:val="24"/>
        </w:rPr>
      </w:pPr>
    </w:p>
    <w:p w:rsidR="00890365" w:rsidRDefault="00890365" w:rsidP="00890365">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Proposed CSI reporting for URLLC with Design Option 1</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4"/>
        <w:gridCol w:w="1856"/>
        <w:gridCol w:w="1683"/>
        <w:gridCol w:w="2028"/>
      </w:tblGrid>
      <w:tr w:rsidR="001578AE" w:rsidTr="00890365">
        <w:trPr>
          <w:trHeight w:val="638"/>
          <w:jc w:val="center"/>
        </w:trPr>
        <w:tc>
          <w:tcPr>
            <w:tcW w:w="5204" w:type="dxa"/>
            <w:vMerge w:val="restart"/>
            <w:shd w:val="clear" w:color="auto" w:fill="E0E0E0"/>
            <w:vAlign w:val="center"/>
          </w:tcPr>
          <w:p w:rsidR="001578AE" w:rsidRPr="0018376C" w:rsidRDefault="001578AE" w:rsidP="0057461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tcW w:w="5567" w:type="dxa"/>
            <w:gridSpan w:val="3"/>
            <w:shd w:val="clear" w:color="auto" w:fill="E0E0E0"/>
          </w:tcPr>
          <w:p w:rsidR="001578AE" w:rsidRPr="0018376C" w:rsidRDefault="001578AE" w:rsidP="0057461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rsidTr="00890365">
        <w:trPr>
          <w:trHeight w:val="150"/>
          <w:jc w:val="center"/>
        </w:trPr>
        <w:tc>
          <w:tcPr>
            <w:tcW w:w="5204" w:type="dxa"/>
            <w:vMerge/>
            <w:shd w:val="clear" w:color="auto" w:fill="E0E0E0"/>
            <w:vAlign w:val="center"/>
          </w:tcPr>
          <w:p w:rsidR="001578AE" w:rsidRPr="00364FA8" w:rsidRDefault="001578AE" w:rsidP="0057461E">
            <w:pPr>
              <w:pStyle w:val="TAH"/>
              <w:rPr>
                <w:i/>
                <w:lang w:val="en-US" w:eastAsia="zh-CN"/>
              </w:rPr>
            </w:pPr>
          </w:p>
        </w:tc>
        <w:tc>
          <w:tcPr>
            <w:tcW w:w="1856" w:type="dxa"/>
            <w:vMerge w:val="restart"/>
            <w:shd w:val="clear" w:color="auto" w:fill="E0E0E0"/>
          </w:tcPr>
          <w:p w:rsidR="001578AE" w:rsidRPr="00D74C73" w:rsidRDefault="001578AE" w:rsidP="0057461E">
            <w:pPr>
              <w:pStyle w:val="TAH"/>
              <w:rPr>
                <w:i/>
                <w:lang w:val="en-US" w:eastAsia="zh-CN"/>
              </w:rPr>
            </w:pPr>
            <w:r>
              <w:rPr>
                <w:i/>
                <w:lang w:val="en-US" w:eastAsia="zh-CN"/>
              </w:rPr>
              <w:t>CSI Part I</w:t>
            </w:r>
          </w:p>
        </w:tc>
        <w:tc>
          <w:tcPr>
            <w:tcW w:w="3711" w:type="dxa"/>
            <w:gridSpan w:val="2"/>
            <w:shd w:val="clear" w:color="auto" w:fill="E0E0E0"/>
          </w:tcPr>
          <w:p w:rsidR="001578AE" w:rsidRPr="00D74C73" w:rsidRDefault="001578AE" w:rsidP="0057461E">
            <w:pPr>
              <w:pStyle w:val="TAH"/>
              <w:rPr>
                <w:i/>
                <w:lang w:val="en-US" w:eastAsia="zh-CN"/>
              </w:rPr>
            </w:pPr>
            <w:r>
              <w:rPr>
                <w:i/>
                <w:lang w:val="en-US" w:eastAsia="zh-CN"/>
              </w:rPr>
              <w:t>CSI Part II</w:t>
            </w:r>
          </w:p>
        </w:tc>
      </w:tr>
      <w:tr w:rsidR="001578AE" w:rsidTr="00890365">
        <w:trPr>
          <w:trHeight w:val="98"/>
          <w:jc w:val="center"/>
        </w:trPr>
        <w:tc>
          <w:tcPr>
            <w:tcW w:w="5204" w:type="dxa"/>
            <w:vMerge/>
            <w:shd w:val="clear" w:color="auto" w:fill="E0E0E0"/>
            <w:vAlign w:val="center"/>
          </w:tcPr>
          <w:p w:rsidR="001578AE" w:rsidRPr="00364FA8" w:rsidRDefault="001578AE" w:rsidP="0057461E">
            <w:pPr>
              <w:pStyle w:val="TAH"/>
              <w:rPr>
                <w:i/>
                <w:lang w:val="en-US" w:eastAsia="zh-CN"/>
              </w:rPr>
            </w:pPr>
          </w:p>
        </w:tc>
        <w:tc>
          <w:tcPr>
            <w:tcW w:w="1856" w:type="dxa"/>
            <w:vMerge/>
            <w:shd w:val="clear" w:color="auto" w:fill="E0E0E0"/>
          </w:tcPr>
          <w:p w:rsidR="001578AE" w:rsidRDefault="001578AE" w:rsidP="0057461E">
            <w:pPr>
              <w:pStyle w:val="TAH"/>
              <w:rPr>
                <w:i/>
                <w:lang w:val="en-US" w:eastAsia="zh-CN"/>
              </w:rPr>
            </w:pPr>
          </w:p>
        </w:tc>
        <w:tc>
          <w:tcPr>
            <w:tcW w:w="1683" w:type="dxa"/>
            <w:shd w:val="clear" w:color="auto" w:fill="E0E0E0"/>
          </w:tcPr>
          <w:p w:rsidR="001578AE" w:rsidRDefault="001578AE" w:rsidP="0057461E">
            <w:pPr>
              <w:pStyle w:val="TAH"/>
              <w:rPr>
                <w:i/>
                <w:lang w:val="en-US" w:eastAsia="zh-CN"/>
              </w:rPr>
            </w:pPr>
            <w:r>
              <w:rPr>
                <w:i/>
                <w:lang w:val="en-US" w:eastAsia="zh-CN"/>
              </w:rPr>
              <w:t>wideband</w:t>
            </w:r>
          </w:p>
        </w:tc>
        <w:tc>
          <w:tcPr>
            <w:tcW w:w="2028" w:type="dxa"/>
            <w:shd w:val="clear" w:color="auto" w:fill="E0E0E0"/>
          </w:tcPr>
          <w:p w:rsidR="001578AE" w:rsidRDefault="001578AE" w:rsidP="0057461E">
            <w:pPr>
              <w:pStyle w:val="TAH"/>
              <w:rPr>
                <w:i/>
                <w:lang w:val="en-US" w:eastAsia="zh-CN"/>
              </w:rPr>
            </w:pPr>
            <w:r>
              <w:rPr>
                <w:i/>
                <w:lang w:val="en-US" w:eastAsia="zh-CN"/>
              </w:rPr>
              <w:t>Sideband</w:t>
            </w:r>
          </w:p>
        </w:tc>
      </w:tr>
      <w:tr w:rsidR="001578AE" w:rsidRPr="0018376C" w:rsidTr="00890365">
        <w:trPr>
          <w:trHeight w:val="214"/>
          <w:jc w:val="center"/>
        </w:trPr>
        <w:tc>
          <w:tcPr>
            <w:tcW w:w="5204"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CRI </w:t>
            </w:r>
          </w:p>
        </w:tc>
        <w:tc>
          <w:tcPr>
            <w:tcW w:w="1856" w:type="dxa"/>
          </w:tcPr>
          <w:p w:rsidR="001578AE" w:rsidRPr="0018376C" w:rsidRDefault="001578AE" w:rsidP="0057461E">
            <w:pPr>
              <w:pStyle w:val="TAC"/>
              <w:rPr>
                <w:b/>
                <w:sz w:val="20"/>
                <w:lang w:eastAsia="zh-CN"/>
              </w:rPr>
            </w:pPr>
            <w:r w:rsidRPr="0018376C">
              <w:rPr>
                <w:rFonts w:hint="eastAsia"/>
                <w:b/>
                <w:sz w:val="20"/>
                <w:lang w:eastAsia="zh-CN"/>
              </w:rPr>
              <w:t>CRI</w:t>
            </w:r>
          </w:p>
        </w:tc>
        <w:tc>
          <w:tcPr>
            <w:tcW w:w="1683" w:type="dxa"/>
          </w:tcPr>
          <w:p w:rsidR="001578AE" w:rsidRDefault="001578AE" w:rsidP="001578AE">
            <w:pPr>
              <w:pStyle w:val="TAC"/>
              <w:spacing w:line="252" w:lineRule="auto"/>
              <w:rPr>
                <w:b/>
                <w:bCs/>
                <w:lang w:eastAsia="zh-CN"/>
              </w:rPr>
            </w:pPr>
            <w:r>
              <w:rPr>
                <w:b/>
                <w:bCs/>
                <w:lang w:eastAsia="zh-CN"/>
              </w:rPr>
              <w:t xml:space="preserve">Wideband CQI </w:t>
            </w:r>
          </w:p>
          <w:p w:rsidR="001578AE" w:rsidRPr="0018376C" w:rsidRDefault="001578AE" w:rsidP="001578AE">
            <w:pPr>
              <w:pStyle w:val="TAC"/>
              <w:rPr>
                <w:b/>
                <w:sz w:val="20"/>
                <w:lang w:eastAsia="zh-CN"/>
              </w:rPr>
            </w:pPr>
            <w:r>
              <w:rPr>
                <w:b/>
                <w:bCs/>
                <w:sz w:val="20"/>
                <w:lang w:eastAsia="zh-CN"/>
              </w:rPr>
              <w:t>(corresponding to CQI threshold of 10^(-5))</w:t>
            </w:r>
          </w:p>
        </w:tc>
        <w:tc>
          <w:tcPr>
            <w:tcW w:w="2028" w:type="dxa"/>
          </w:tcPr>
          <w:p w:rsidR="001578AE" w:rsidRDefault="001578AE" w:rsidP="001578AE">
            <w:pPr>
              <w:pStyle w:val="TAC"/>
              <w:spacing w:line="252" w:lineRule="auto"/>
              <w:rPr>
                <w:b/>
                <w:bCs/>
                <w:lang w:eastAsia="zh-CN"/>
              </w:rPr>
            </w:pPr>
            <w:r>
              <w:rPr>
                <w:b/>
                <w:bCs/>
                <w:lang w:eastAsia="zh-CN"/>
              </w:rPr>
              <w:t xml:space="preserve">Subband differential CQI </w:t>
            </w:r>
          </w:p>
          <w:p w:rsidR="001578AE" w:rsidRPr="0018376C" w:rsidRDefault="001578AE" w:rsidP="001578AE">
            <w:pPr>
              <w:pStyle w:val="TAC"/>
              <w:rPr>
                <w:b/>
                <w:sz w:val="20"/>
                <w:lang w:eastAsia="zh-CN"/>
              </w:rPr>
            </w:pPr>
            <w:r>
              <w:rPr>
                <w:b/>
                <w:bCs/>
                <w:sz w:val="20"/>
                <w:lang w:eastAsia="zh-CN"/>
              </w:rPr>
              <w:t>(corresponding to CQI threshold of 10^(-5))</w:t>
            </w:r>
          </w:p>
        </w:tc>
      </w:tr>
      <w:tr w:rsidR="001578AE" w:rsidRPr="0018376C" w:rsidTr="00890365">
        <w:trPr>
          <w:trHeight w:val="221"/>
          <w:jc w:val="center"/>
        </w:trPr>
        <w:tc>
          <w:tcPr>
            <w:tcW w:w="5204"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Rank Indicator </w:t>
            </w:r>
          </w:p>
        </w:tc>
        <w:tc>
          <w:tcPr>
            <w:tcW w:w="1856" w:type="dxa"/>
          </w:tcPr>
          <w:p w:rsidR="001578AE" w:rsidRPr="0018376C" w:rsidRDefault="001578AE" w:rsidP="0057461E">
            <w:pPr>
              <w:pStyle w:val="TAC"/>
              <w:rPr>
                <w:b/>
                <w:sz w:val="20"/>
                <w:lang w:eastAsia="zh-CN"/>
              </w:rPr>
            </w:pPr>
            <w:r w:rsidRPr="0018376C">
              <w:rPr>
                <w:b/>
                <w:sz w:val="20"/>
                <w:lang w:eastAsia="zh-CN"/>
              </w:rPr>
              <w:t>Rank Indicator</w:t>
            </w:r>
          </w:p>
        </w:tc>
        <w:tc>
          <w:tcPr>
            <w:tcW w:w="1683" w:type="dxa"/>
          </w:tcPr>
          <w:p w:rsidR="001578AE" w:rsidRPr="0018376C" w:rsidRDefault="001578AE" w:rsidP="0057461E">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2028" w:type="dxa"/>
          </w:tcPr>
          <w:p w:rsidR="001578AE" w:rsidRPr="0018376C" w:rsidRDefault="001578AE" w:rsidP="0057461E">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v:shape id="_x0000_i1027" type="#_x0000_t75" style="width:17.3pt;height:17.3pt" o:ole="">
                  <v:imagedata r:id="rId8" o:title=""/>
                </v:shape>
                <o:OLEObject Type="Embed" ProgID="Equation.3" ShapeID="_x0000_i1027" DrawAspect="Content" ObjectID="_1587562745" r:id="rId11"/>
              </w:object>
            </w:r>
            <w:r w:rsidRPr="0018376C">
              <w:rPr>
                <w:rFonts w:hint="eastAsia"/>
                <w:b/>
                <w:sz w:val="20"/>
                <w:lang w:eastAsia="zh-CN"/>
              </w:rPr>
              <w:t xml:space="preserve"> of all even subbands</w:t>
            </w:r>
          </w:p>
        </w:tc>
      </w:tr>
      <w:tr w:rsidR="001578AE" w:rsidRPr="0018376C" w:rsidTr="00890365">
        <w:trPr>
          <w:trHeight w:val="221"/>
          <w:jc w:val="center"/>
        </w:trPr>
        <w:tc>
          <w:tcPr>
            <w:tcW w:w="5204"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Layer Indicator </w:t>
            </w:r>
          </w:p>
        </w:tc>
        <w:tc>
          <w:tcPr>
            <w:tcW w:w="1856" w:type="dxa"/>
          </w:tcPr>
          <w:p w:rsidR="001578AE" w:rsidRPr="0018376C" w:rsidRDefault="001578AE" w:rsidP="0057461E">
            <w:pPr>
              <w:pStyle w:val="TAC"/>
              <w:rPr>
                <w:b/>
                <w:sz w:val="20"/>
                <w:lang w:eastAsia="zh-CN"/>
              </w:rPr>
            </w:pPr>
            <w:r w:rsidRPr="0018376C">
              <w:rPr>
                <w:rFonts w:hint="eastAsia"/>
                <w:b/>
                <w:sz w:val="20"/>
                <w:lang w:eastAsia="zh-CN"/>
              </w:rPr>
              <w:t>Layer Indicator</w:t>
            </w:r>
          </w:p>
        </w:tc>
        <w:tc>
          <w:tcPr>
            <w:tcW w:w="1683" w:type="dxa"/>
          </w:tcPr>
          <w:p w:rsidR="001578AE" w:rsidRPr="0018376C" w:rsidRDefault="001578AE" w:rsidP="0057461E">
            <w:pPr>
              <w:pStyle w:val="TAC"/>
              <w:rPr>
                <w:b/>
                <w:sz w:val="20"/>
                <w:lang w:eastAsia="zh-CN"/>
              </w:rPr>
            </w:pPr>
            <w:r w:rsidRPr="0018376C">
              <w:rPr>
                <w:b/>
                <w:sz w:val="20"/>
                <w:lang w:eastAsia="zh-CN"/>
              </w:rPr>
              <w:t>---------</w:t>
            </w:r>
          </w:p>
        </w:tc>
        <w:tc>
          <w:tcPr>
            <w:tcW w:w="2028" w:type="dxa"/>
          </w:tcPr>
          <w:p w:rsidR="001578AE" w:rsidRPr="0018376C" w:rsidRDefault="001578AE" w:rsidP="0057461E">
            <w:pPr>
              <w:pStyle w:val="TAC"/>
              <w:rPr>
                <w:b/>
                <w:sz w:val="20"/>
                <w:lang w:eastAsia="zh-CN"/>
              </w:rPr>
            </w:pPr>
            <w:r>
              <w:rPr>
                <w:b/>
                <w:bCs/>
                <w:sz w:val="20"/>
                <w:lang w:eastAsia="zh-CN"/>
              </w:rPr>
              <w:t>Subband differential CQI (corresponding to CQI threshold of 10^(-5))</w:t>
            </w:r>
          </w:p>
        </w:tc>
      </w:tr>
      <w:tr w:rsidR="001578AE" w:rsidRPr="0018376C" w:rsidTr="00890365">
        <w:trPr>
          <w:trHeight w:val="339"/>
          <w:jc w:val="center"/>
        </w:trPr>
        <w:tc>
          <w:tcPr>
            <w:tcW w:w="5204" w:type="dxa"/>
            <w:vAlign w:val="center"/>
          </w:tcPr>
          <w:p w:rsidR="001578AE" w:rsidRPr="0018376C" w:rsidRDefault="001578AE" w:rsidP="0057461E">
            <w:pPr>
              <w:pStyle w:val="TAC"/>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tcW w:w="1856" w:type="dxa"/>
          </w:tcPr>
          <w:p w:rsidR="001578AE" w:rsidRDefault="001578AE" w:rsidP="001578AE">
            <w:pPr>
              <w:pStyle w:val="TAC"/>
              <w:spacing w:line="252" w:lineRule="auto"/>
              <w:rPr>
                <w:b/>
                <w:bCs/>
                <w:lang w:eastAsia="zh-CN"/>
              </w:rPr>
            </w:pPr>
            <w:r>
              <w:rPr>
                <w:b/>
                <w:bCs/>
                <w:lang w:eastAsia="zh-CN"/>
              </w:rPr>
              <w:t>Wideband CQI</w:t>
            </w:r>
          </w:p>
          <w:p w:rsidR="001578AE" w:rsidRPr="0018376C" w:rsidRDefault="001578AE" w:rsidP="001578AE">
            <w:pPr>
              <w:pStyle w:val="TAC"/>
              <w:rPr>
                <w:b/>
                <w:sz w:val="20"/>
                <w:lang w:eastAsia="zh-CN"/>
              </w:rPr>
            </w:pPr>
            <w:r>
              <w:rPr>
                <w:b/>
                <w:bCs/>
                <w:sz w:val="20"/>
                <w:lang w:eastAsia="zh-CN"/>
              </w:rPr>
              <w:t>(corresponding to CQI threshold of 10^(-1))</w:t>
            </w:r>
          </w:p>
        </w:tc>
        <w:tc>
          <w:tcPr>
            <w:tcW w:w="1683" w:type="dxa"/>
          </w:tcPr>
          <w:p w:rsidR="001578AE" w:rsidRPr="0018376C" w:rsidRDefault="001578AE" w:rsidP="0057461E">
            <w:pPr>
              <w:pStyle w:val="TAC"/>
              <w:rPr>
                <w:b/>
                <w:sz w:val="20"/>
                <w:lang w:eastAsia="zh-CN"/>
              </w:rPr>
            </w:pPr>
            <w:r w:rsidRPr="0018376C">
              <w:rPr>
                <w:b/>
                <w:sz w:val="20"/>
                <w:lang w:eastAsia="zh-CN"/>
              </w:rPr>
              <w:t>---------</w:t>
            </w:r>
          </w:p>
        </w:tc>
        <w:tc>
          <w:tcPr>
            <w:tcW w:w="2028" w:type="dxa"/>
          </w:tcPr>
          <w:p w:rsidR="001578AE" w:rsidRPr="0018376C" w:rsidRDefault="001578AE" w:rsidP="0057461E">
            <w:pPr>
              <w:pStyle w:val="TAC"/>
              <w:rPr>
                <w:b/>
                <w:sz w:val="20"/>
                <w:lang w:eastAsia="zh-CN"/>
              </w:rPr>
            </w:pPr>
            <w:r w:rsidRPr="0018376C">
              <w:rPr>
                <w:rFonts w:hint="eastAsia"/>
                <w:b/>
                <w:sz w:val="20"/>
                <w:lang w:eastAsia="zh-CN"/>
              </w:rPr>
              <w:t xml:space="preserve">PMI subband information fields </w:t>
            </w:r>
            <w:r w:rsidRPr="0018376C">
              <w:rPr>
                <w:b/>
                <w:position w:val="-10"/>
                <w:sz w:val="20"/>
                <w:lang w:eastAsia="zh-CN"/>
              </w:rPr>
              <w:object w:dxaOrig="340" w:dyaOrig="340">
                <v:shape id="_x0000_i1028" type="#_x0000_t75" style="width:17.3pt;height:17.3pt" o:ole="">
                  <v:imagedata r:id="rId8" o:title=""/>
                </v:shape>
                <o:OLEObject Type="Embed" ProgID="Equation.3" ShapeID="_x0000_i1028" DrawAspect="Content" ObjectID="_1587562746" r:id="rId12"/>
              </w:object>
            </w:r>
            <w:r w:rsidRPr="0018376C">
              <w:rPr>
                <w:rFonts w:hint="eastAsia"/>
                <w:b/>
                <w:sz w:val="20"/>
                <w:lang w:eastAsia="zh-CN"/>
              </w:rPr>
              <w:t xml:space="preserve"> of all odd subbands</w:t>
            </w:r>
          </w:p>
        </w:tc>
      </w:tr>
      <w:tr w:rsidR="001578AE" w:rsidRPr="0018376C" w:rsidTr="00890365">
        <w:trPr>
          <w:trHeight w:val="221"/>
          <w:jc w:val="center"/>
        </w:trPr>
        <w:tc>
          <w:tcPr>
            <w:tcW w:w="5204" w:type="dxa"/>
            <w:vAlign w:val="center"/>
          </w:tcPr>
          <w:p w:rsidR="001578AE" w:rsidRPr="0018376C" w:rsidRDefault="001578AE" w:rsidP="0057461E">
            <w:pPr>
              <w:pStyle w:val="TAC"/>
              <w:rPr>
                <w:b/>
                <w:sz w:val="20"/>
                <w:lang w:eastAsia="zh-CN"/>
              </w:rPr>
            </w:pPr>
            <w:r w:rsidRPr="0018376C">
              <w:rPr>
                <w:b/>
                <w:sz w:val="20"/>
                <w:lang w:eastAsia="zh-CN"/>
              </w:rPr>
              <w:t>W</w:t>
            </w:r>
            <w:r w:rsidRPr="0018376C">
              <w:rPr>
                <w:rFonts w:hint="eastAsia"/>
                <w:b/>
                <w:sz w:val="20"/>
                <w:lang w:eastAsia="zh-CN"/>
              </w:rPr>
              <w:t xml:space="preserve">ideband CQI </w:t>
            </w:r>
          </w:p>
        </w:tc>
        <w:tc>
          <w:tcPr>
            <w:tcW w:w="1856" w:type="dxa"/>
          </w:tcPr>
          <w:p w:rsidR="001578AE" w:rsidRPr="0018376C" w:rsidRDefault="001578AE" w:rsidP="0057461E">
            <w:pPr>
              <w:pStyle w:val="TAC"/>
              <w:rPr>
                <w:b/>
                <w:sz w:val="20"/>
                <w:lang w:eastAsia="zh-CN"/>
              </w:rPr>
            </w:pPr>
            <w:r>
              <w:rPr>
                <w:b/>
                <w:bCs/>
                <w:sz w:val="20"/>
                <w:lang w:eastAsia="zh-CN"/>
              </w:rPr>
              <w:t>Subband differential CQI (corresponding to CQI threshold of 10^(-1))</w:t>
            </w:r>
          </w:p>
        </w:tc>
        <w:tc>
          <w:tcPr>
            <w:tcW w:w="1683" w:type="dxa"/>
          </w:tcPr>
          <w:p w:rsidR="001578AE" w:rsidRPr="0018376C" w:rsidRDefault="001578AE" w:rsidP="0057461E">
            <w:pPr>
              <w:pStyle w:val="TAC"/>
              <w:rPr>
                <w:b/>
                <w:sz w:val="20"/>
                <w:lang w:eastAsia="zh-CN"/>
              </w:rPr>
            </w:pPr>
            <w:r w:rsidRPr="0018376C">
              <w:rPr>
                <w:b/>
                <w:sz w:val="20"/>
                <w:lang w:eastAsia="zh-CN"/>
              </w:rPr>
              <w:t>---------</w:t>
            </w:r>
          </w:p>
        </w:tc>
        <w:tc>
          <w:tcPr>
            <w:tcW w:w="2028" w:type="dxa"/>
          </w:tcPr>
          <w:p w:rsidR="001578AE" w:rsidRPr="0018376C" w:rsidRDefault="001578AE" w:rsidP="0057461E">
            <w:pPr>
              <w:pStyle w:val="TAC"/>
              <w:rPr>
                <w:b/>
                <w:sz w:val="20"/>
                <w:lang w:eastAsia="zh-CN"/>
              </w:rPr>
            </w:pPr>
            <w:r w:rsidRPr="0018376C">
              <w:rPr>
                <w:b/>
                <w:sz w:val="20"/>
                <w:lang w:eastAsia="zh-CN"/>
              </w:rPr>
              <w:t>---------</w:t>
            </w:r>
          </w:p>
        </w:tc>
      </w:tr>
    </w:tbl>
    <w:p w:rsidR="00556F5D" w:rsidRDefault="00556F5D" w:rsidP="00556F5D">
      <w:pPr>
        <w:contextualSpacing/>
        <w:jc w:val="both"/>
        <w:rPr>
          <w:sz w:val="24"/>
        </w:rPr>
      </w:pPr>
    </w:p>
    <w:p w:rsidR="00556F5D" w:rsidRDefault="00556F5D" w:rsidP="00556F5D">
      <w:pPr>
        <w:contextualSpacing/>
        <w:jc w:val="both"/>
        <w:rPr>
          <w:sz w:val="24"/>
        </w:rPr>
      </w:pPr>
    </w:p>
    <w:p w:rsidR="00556F5D" w:rsidRDefault="00556F5D" w:rsidP="00556F5D">
      <w:pPr>
        <w:contextualSpacing/>
        <w:jc w:val="both"/>
        <w:rPr>
          <w:sz w:val="24"/>
        </w:rPr>
      </w:pPr>
      <w:r>
        <w:rPr>
          <w:sz w:val="24"/>
        </w:rPr>
        <w:t>For the design option 2, the existing CSI report settings needs a new parameter which indicates the UE to report the CQI corresponds to the threshold. Hence the base station can configure multiple say 2 CSI reports such that each report setting can have a different thresholds to obtain the CQI for URLLC.</w:t>
      </w:r>
    </w:p>
    <w:p w:rsidR="00556F5D" w:rsidRDefault="00556F5D" w:rsidP="00556F5D">
      <w:pPr>
        <w:contextualSpacing/>
        <w:jc w:val="both"/>
        <w:rPr>
          <w:sz w:val="24"/>
        </w:rPr>
      </w:pPr>
      <w:r>
        <w:rPr>
          <w:sz w:val="24"/>
        </w:rPr>
        <w:t xml:space="preserve"> </w:t>
      </w:r>
    </w:p>
    <w:p w:rsidR="00556F5D" w:rsidRDefault="00556F5D" w:rsidP="00556F5D">
      <w:pPr>
        <w:contextualSpacing/>
        <w:jc w:val="both"/>
        <w:rPr>
          <w:sz w:val="24"/>
        </w:rPr>
      </w:pPr>
      <w:r>
        <w:rPr>
          <w:sz w:val="24"/>
        </w:rPr>
        <w:t>Since NR URLLC is mainly used for delay sensitive applications and an accurate CQI is very important, we prefer design option 2, where the network indicates the BLER threshold as part of each CSI report setting, there by the network can obtain the desired CQI without any delay. Hence we propose</w:t>
      </w:r>
    </w:p>
    <w:p w:rsidR="00556F5D" w:rsidRDefault="00556F5D" w:rsidP="00214BB7">
      <w:pPr>
        <w:contextualSpacing/>
        <w:rPr>
          <w:b/>
          <w:noProof/>
          <w:sz w:val="24"/>
          <w:szCs w:val="24"/>
        </w:rPr>
      </w:pPr>
      <w:r>
        <w:rPr>
          <w:sz w:val="24"/>
        </w:rPr>
        <w:tab/>
      </w:r>
    </w:p>
    <w:p w:rsidR="00214BB7" w:rsidRPr="00DA5CDF" w:rsidRDefault="00214BB7" w:rsidP="00214BB7">
      <w:pPr>
        <w:contextualSpacing/>
      </w:pPr>
      <w:r w:rsidRPr="00214BB7">
        <w:rPr>
          <w:b/>
          <w:noProof/>
          <w:sz w:val="24"/>
          <w:szCs w:val="24"/>
        </w:rPr>
        <w:t>Proposal 1:</w:t>
      </w:r>
      <w:r w:rsidRPr="00214BB7">
        <w:rPr>
          <w:b/>
          <w:sz w:val="24"/>
          <w:szCs w:val="24"/>
        </w:rPr>
        <w:t xml:space="preserve">  </w:t>
      </w:r>
      <w:r w:rsidR="0062001B">
        <w:rPr>
          <w:b/>
          <w:sz w:val="24"/>
          <w:szCs w:val="24"/>
        </w:rPr>
        <w:t>BLER target</w:t>
      </w:r>
      <w:r w:rsidR="00556F5D">
        <w:rPr>
          <w:b/>
          <w:sz w:val="24"/>
          <w:szCs w:val="24"/>
        </w:rPr>
        <w:t xml:space="preserve"> for each CQI is conveyed to the UE as part of CSI report setting</w:t>
      </w:r>
    </w:p>
    <w:p w:rsidR="00757CAA" w:rsidRDefault="002421E2" w:rsidP="00757CAA">
      <w:pPr>
        <w:pStyle w:val="Heading1"/>
      </w:pPr>
      <w:r>
        <w:t xml:space="preserve">Sub </w:t>
      </w:r>
      <w:r w:rsidR="0062001B">
        <w:t>band CQI</w:t>
      </w:r>
      <w:r>
        <w:t xml:space="preserve"> Reporting </w:t>
      </w:r>
    </w:p>
    <w:p w:rsidR="00757CAA" w:rsidRPr="00757CAA" w:rsidRDefault="00757CAA" w:rsidP="00757CAA">
      <w:pPr>
        <w:pStyle w:val="Heading3"/>
        <w:keepLines w:val="0"/>
        <w:numPr>
          <w:ilvl w:val="2"/>
          <w:numId w:val="0"/>
        </w:numPr>
        <w:tabs>
          <w:tab w:val="num" w:pos="851"/>
        </w:tabs>
        <w:spacing w:before="480"/>
        <w:jc w:val="both"/>
        <w:rPr>
          <w:rFonts w:ascii="Times New Roman" w:hAnsi="Times New Roman"/>
          <w:b/>
          <w:sz w:val="24"/>
        </w:rPr>
      </w:pPr>
      <w:r w:rsidRPr="00757CAA">
        <w:rPr>
          <w:rFonts w:ascii="Times New Roman" w:hAnsi="Times New Roman"/>
          <w:color w:val="000000" w:themeColor="text1"/>
          <w:sz w:val="24"/>
        </w:rPr>
        <w:t xml:space="preserve">Another </w:t>
      </w:r>
      <w:r w:rsidR="00D51A2A" w:rsidRPr="00757CAA">
        <w:rPr>
          <w:rFonts w:ascii="Times New Roman" w:hAnsi="Times New Roman"/>
          <w:color w:val="000000" w:themeColor="text1"/>
          <w:sz w:val="24"/>
        </w:rPr>
        <w:t xml:space="preserve">issue </w:t>
      </w:r>
      <w:r w:rsidR="00D51A2A">
        <w:rPr>
          <w:rFonts w:ascii="Times New Roman" w:hAnsi="Times New Roman"/>
          <w:color w:val="000000" w:themeColor="text1"/>
          <w:sz w:val="24"/>
        </w:rPr>
        <w:t xml:space="preserve">of CQI reporting is the number of bits for sub band CQI reporting. As it is already decides to have CQI size of 4 bits. It is not clear whether this CQI corresponds to wideband CQI or includes both wideband and sub band CQI. In our view, having full resolution for sub band CQI (similar to wideband CQI) is beneficial for URLLC. The other option is to increase the differential CQI bit size to 3 bits rather than 2 bits as the existing sub band CQI reporting mechanism is reused from LTE specifications. </w:t>
      </w:r>
    </w:p>
    <w:p w:rsidR="00D51A2A" w:rsidRDefault="00D51A2A" w:rsidP="00D51A2A">
      <w:pPr>
        <w:ind w:left="360"/>
        <w:jc w:val="both"/>
        <w:rPr>
          <w:rFonts w:eastAsia="MS Mincho"/>
          <w:sz w:val="24"/>
          <w:szCs w:val="24"/>
          <w:lang w:val="en-GB" w:eastAsia="ja-JP"/>
        </w:rPr>
      </w:pPr>
    </w:p>
    <w:p w:rsidR="00D51A2A" w:rsidRDefault="00D51A2A" w:rsidP="00D51A2A">
      <w:pPr>
        <w:ind w:left="360"/>
        <w:jc w:val="both"/>
        <w:rPr>
          <w:rFonts w:eastAsia="MS Mincho"/>
          <w:sz w:val="24"/>
          <w:szCs w:val="24"/>
          <w:lang w:val="en-GB" w:eastAsia="ja-JP"/>
        </w:rPr>
      </w:pPr>
    </w:p>
    <w:p w:rsidR="00D51A2A" w:rsidRPr="003D71B4" w:rsidRDefault="00D51A2A" w:rsidP="00D51A2A">
      <w:pPr>
        <w:jc w:val="both"/>
        <w:rPr>
          <w:rFonts w:eastAsia="MS Mincho"/>
          <w:sz w:val="24"/>
          <w:szCs w:val="24"/>
          <w:lang w:eastAsia="ja-JP"/>
        </w:rPr>
      </w:pPr>
      <w:r w:rsidRPr="003D71B4">
        <w:rPr>
          <w:rFonts w:eastAsia="MS Mincho"/>
          <w:sz w:val="24"/>
          <w:szCs w:val="24"/>
          <w:lang w:val="en-GB" w:eastAsia="ja-JP"/>
        </w:rPr>
        <w:t>Hence we prefer to support</w:t>
      </w:r>
      <w:r>
        <w:rPr>
          <w:rFonts w:eastAsia="MS Mincho"/>
          <w:sz w:val="24"/>
          <w:szCs w:val="24"/>
          <w:lang w:val="en-GB" w:eastAsia="ja-JP"/>
        </w:rPr>
        <w:t xml:space="preserve"> either option 1 or/and option 2.</w:t>
      </w:r>
    </w:p>
    <w:p w:rsidR="00D51A2A" w:rsidRDefault="00D51A2A" w:rsidP="00D51A2A">
      <w:pPr>
        <w:jc w:val="both"/>
        <w:rPr>
          <w:rFonts w:eastAsia="MS Mincho"/>
          <w:sz w:val="24"/>
          <w:szCs w:val="24"/>
          <w:lang w:eastAsia="ja-JP"/>
        </w:rPr>
      </w:pPr>
      <w:r w:rsidRPr="003D71B4">
        <w:rPr>
          <w:rFonts w:eastAsia="MS Mincho"/>
          <w:b/>
          <w:sz w:val="24"/>
          <w:szCs w:val="24"/>
          <w:lang w:eastAsia="ja-JP"/>
        </w:rPr>
        <w:t>Option 1:</w:t>
      </w:r>
      <w:r>
        <w:rPr>
          <w:rFonts w:eastAsia="MS Mincho"/>
          <w:sz w:val="24"/>
          <w:szCs w:val="24"/>
          <w:lang w:eastAsia="ja-JP"/>
        </w:rPr>
        <w:t xml:space="preserve">  Support 4 bit CQI for each sub band i.e. without using differential CQI</w:t>
      </w:r>
    </w:p>
    <w:p w:rsidR="00D51A2A" w:rsidRDefault="00D51A2A" w:rsidP="00D51A2A">
      <w:pPr>
        <w:jc w:val="both"/>
        <w:rPr>
          <w:rFonts w:eastAsia="MS Mincho"/>
          <w:sz w:val="24"/>
          <w:szCs w:val="24"/>
          <w:lang w:eastAsia="ja-JP"/>
        </w:rPr>
      </w:pPr>
      <w:r w:rsidRPr="003D71B4">
        <w:rPr>
          <w:rFonts w:eastAsia="MS Mincho"/>
          <w:b/>
          <w:sz w:val="24"/>
          <w:szCs w:val="24"/>
          <w:lang w:eastAsia="ja-JP"/>
        </w:rPr>
        <w:t>Option 2:</w:t>
      </w:r>
      <w:r>
        <w:rPr>
          <w:rFonts w:eastAsia="MS Mincho"/>
          <w:sz w:val="24"/>
          <w:szCs w:val="24"/>
          <w:lang w:eastAsia="ja-JP"/>
        </w:rPr>
        <w:t xml:space="preserve"> 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Offset level</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0</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0</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1</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1</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2</w:t>
            </w:r>
          </w:p>
        </w:tc>
        <w:tc>
          <w:tcPr>
            <w:tcW w:w="3118" w:type="dxa"/>
            <w:shd w:val="clear" w:color="auto" w:fill="auto"/>
          </w:tcPr>
          <w:p w:rsidR="00D51A2A" w:rsidRPr="0048482F" w:rsidRDefault="00D51A2A" w:rsidP="0057461E">
            <w:pPr>
              <w:pStyle w:val="text0"/>
              <w:spacing w:after="0"/>
              <w:jc w:val="center"/>
              <w:rPr>
                <w:color w:val="000000"/>
                <w:sz w:val="20"/>
              </w:rPr>
            </w:pPr>
            <w:r>
              <w:rPr>
                <w:rFonts w:cs="Times"/>
                <w:color w:val="000000"/>
                <w:sz w:val="20"/>
              </w:rPr>
              <w:t>2</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3</w:t>
            </w:r>
          </w:p>
        </w:tc>
        <w:tc>
          <w:tcPr>
            <w:tcW w:w="3118" w:type="dxa"/>
            <w:shd w:val="clear" w:color="auto" w:fill="auto"/>
          </w:tcPr>
          <w:p w:rsidR="00D51A2A" w:rsidRPr="0048482F" w:rsidRDefault="00D51A2A" w:rsidP="0057461E">
            <w:pPr>
              <w:pStyle w:val="text0"/>
              <w:spacing w:after="0"/>
              <w:rPr>
                <w:color w:val="000000"/>
                <w:sz w:val="20"/>
              </w:rPr>
            </w:pPr>
            <w:r>
              <w:rPr>
                <w:rFonts w:cs="Times"/>
                <w:color w:val="000000"/>
                <w:sz w:val="20"/>
              </w:rPr>
              <w:t xml:space="preserve">                           -1</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Pr>
                <w:color w:val="000000"/>
                <w:sz w:val="20"/>
              </w:rPr>
              <w:t>4</w:t>
            </w:r>
          </w:p>
        </w:tc>
        <w:tc>
          <w:tcPr>
            <w:tcW w:w="3118" w:type="dxa"/>
            <w:shd w:val="clear" w:color="auto" w:fill="auto"/>
          </w:tcPr>
          <w:p w:rsidR="00D51A2A" w:rsidRPr="0048482F" w:rsidRDefault="00D51A2A" w:rsidP="0057461E">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D51A2A" w:rsidRPr="0048482F" w:rsidTr="0057461E">
        <w:tc>
          <w:tcPr>
            <w:tcW w:w="3260" w:type="dxa"/>
            <w:shd w:val="clear" w:color="auto" w:fill="auto"/>
          </w:tcPr>
          <w:p w:rsidR="00D51A2A" w:rsidRDefault="00D51A2A" w:rsidP="0057461E">
            <w:pPr>
              <w:pStyle w:val="text0"/>
              <w:spacing w:after="0"/>
              <w:jc w:val="center"/>
              <w:rPr>
                <w:color w:val="000000"/>
                <w:sz w:val="20"/>
              </w:rPr>
            </w:pPr>
            <w:r>
              <w:rPr>
                <w:color w:val="000000"/>
                <w:sz w:val="20"/>
              </w:rPr>
              <w:t>5</w:t>
            </w:r>
          </w:p>
        </w:tc>
        <w:tc>
          <w:tcPr>
            <w:tcW w:w="3118" w:type="dxa"/>
            <w:shd w:val="clear" w:color="auto" w:fill="auto"/>
          </w:tcPr>
          <w:p w:rsidR="00D51A2A" w:rsidRPr="0048482F" w:rsidRDefault="00D51A2A" w:rsidP="0057461E">
            <w:pPr>
              <w:pStyle w:val="text0"/>
              <w:spacing w:after="0"/>
              <w:jc w:val="center"/>
              <w:rPr>
                <w:rFonts w:cs="Times"/>
                <w:color w:val="000000"/>
                <w:sz w:val="20"/>
              </w:rPr>
            </w:pPr>
            <w:r w:rsidRPr="0048482F">
              <w:rPr>
                <w:rFonts w:cs="Times"/>
                <w:color w:val="000000"/>
                <w:sz w:val="20"/>
              </w:rPr>
              <w:t>≤</w:t>
            </w:r>
            <w:r>
              <w:rPr>
                <w:color w:val="000000"/>
                <w:sz w:val="20"/>
              </w:rPr>
              <w:t>-2</w:t>
            </w:r>
          </w:p>
        </w:tc>
      </w:tr>
    </w:tbl>
    <w:p w:rsidR="00D51A2A" w:rsidRPr="003D71B4" w:rsidRDefault="00D51A2A" w:rsidP="00D51A2A">
      <w:pPr>
        <w:jc w:val="both"/>
        <w:rPr>
          <w:sz w:val="24"/>
          <w:szCs w:val="24"/>
        </w:rPr>
      </w:pPr>
      <w:r w:rsidRPr="003D71B4">
        <w:rPr>
          <w:sz w:val="24"/>
          <w:szCs w:val="24"/>
        </w:rPr>
        <w:t xml:space="preserve">Hence we propose that </w:t>
      </w:r>
    </w:p>
    <w:p w:rsidR="00D51A2A" w:rsidRDefault="00D51A2A" w:rsidP="00D51A2A">
      <w:pPr>
        <w:jc w:val="both"/>
        <w:rPr>
          <w:b/>
          <w:sz w:val="24"/>
          <w:szCs w:val="24"/>
        </w:rPr>
      </w:pPr>
    </w:p>
    <w:p w:rsidR="00D51A2A" w:rsidRDefault="00D51A2A" w:rsidP="00D51A2A">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rsidR="00D51A2A" w:rsidRDefault="00D51A2A" w:rsidP="00D51A2A">
      <w:pPr>
        <w:jc w:val="both"/>
        <w:rPr>
          <w:rFonts w:eastAsia="MS Mincho"/>
          <w:sz w:val="24"/>
          <w:szCs w:val="24"/>
          <w:lang w:eastAsia="ja-JP"/>
        </w:rPr>
      </w:pPr>
      <w:r>
        <w:rPr>
          <w:b/>
          <w:sz w:val="24"/>
          <w:szCs w:val="24"/>
        </w:rPr>
        <w:t>Proposal 3</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Offset level</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0</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0</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1</w:t>
            </w:r>
          </w:p>
        </w:tc>
        <w:tc>
          <w:tcPr>
            <w:tcW w:w="3118"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1</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2</w:t>
            </w:r>
          </w:p>
        </w:tc>
        <w:tc>
          <w:tcPr>
            <w:tcW w:w="3118" w:type="dxa"/>
            <w:shd w:val="clear" w:color="auto" w:fill="auto"/>
          </w:tcPr>
          <w:p w:rsidR="00D51A2A" w:rsidRPr="0048482F" w:rsidRDefault="00D51A2A" w:rsidP="0057461E">
            <w:pPr>
              <w:pStyle w:val="text0"/>
              <w:spacing w:after="0"/>
              <w:jc w:val="center"/>
              <w:rPr>
                <w:color w:val="000000"/>
                <w:sz w:val="20"/>
              </w:rPr>
            </w:pPr>
            <w:r>
              <w:rPr>
                <w:rFonts w:cs="Times"/>
                <w:color w:val="000000"/>
                <w:sz w:val="20"/>
              </w:rPr>
              <w:t>2</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sidRPr="0048482F">
              <w:rPr>
                <w:color w:val="000000"/>
                <w:sz w:val="20"/>
              </w:rPr>
              <w:t>3</w:t>
            </w:r>
          </w:p>
        </w:tc>
        <w:tc>
          <w:tcPr>
            <w:tcW w:w="3118" w:type="dxa"/>
            <w:shd w:val="clear" w:color="auto" w:fill="auto"/>
          </w:tcPr>
          <w:p w:rsidR="00D51A2A" w:rsidRPr="0048482F" w:rsidRDefault="00D51A2A" w:rsidP="0057461E">
            <w:pPr>
              <w:pStyle w:val="text0"/>
              <w:spacing w:after="0"/>
              <w:rPr>
                <w:color w:val="000000"/>
                <w:sz w:val="20"/>
              </w:rPr>
            </w:pPr>
            <w:r>
              <w:rPr>
                <w:rFonts w:cs="Times"/>
                <w:color w:val="000000"/>
                <w:sz w:val="20"/>
              </w:rPr>
              <w:t xml:space="preserve">                           -1</w:t>
            </w:r>
          </w:p>
        </w:tc>
      </w:tr>
      <w:tr w:rsidR="00D51A2A" w:rsidRPr="0048482F" w:rsidTr="0057461E">
        <w:tc>
          <w:tcPr>
            <w:tcW w:w="3260" w:type="dxa"/>
            <w:shd w:val="clear" w:color="auto" w:fill="auto"/>
          </w:tcPr>
          <w:p w:rsidR="00D51A2A" w:rsidRPr="0048482F" w:rsidRDefault="00D51A2A" w:rsidP="0057461E">
            <w:pPr>
              <w:pStyle w:val="text0"/>
              <w:spacing w:after="0"/>
              <w:jc w:val="center"/>
              <w:rPr>
                <w:color w:val="000000"/>
                <w:sz w:val="20"/>
              </w:rPr>
            </w:pPr>
            <w:r>
              <w:rPr>
                <w:color w:val="000000"/>
                <w:sz w:val="20"/>
              </w:rPr>
              <w:t>4</w:t>
            </w:r>
          </w:p>
        </w:tc>
        <w:tc>
          <w:tcPr>
            <w:tcW w:w="3118" w:type="dxa"/>
            <w:shd w:val="clear" w:color="auto" w:fill="auto"/>
          </w:tcPr>
          <w:p w:rsidR="00D51A2A" w:rsidRPr="0048482F" w:rsidRDefault="00D51A2A" w:rsidP="0057461E">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D51A2A" w:rsidRPr="0048482F" w:rsidTr="0057461E">
        <w:tc>
          <w:tcPr>
            <w:tcW w:w="3260" w:type="dxa"/>
            <w:shd w:val="clear" w:color="auto" w:fill="auto"/>
          </w:tcPr>
          <w:p w:rsidR="00D51A2A" w:rsidRDefault="00D51A2A" w:rsidP="0057461E">
            <w:pPr>
              <w:pStyle w:val="text0"/>
              <w:spacing w:after="0"/>
              <w:jc w:val="center"/>
              <w:rPr>
                <w:color w:val="000000"/>
                <w:sz w:val="20"/>
              </w:rPr>
            </w:pPr>
            <w:r>
              <w:rPr>
                <w:color w:val="000000"/>
                <w:sz w:val="20"/>
              </w:rPr>
              <w:t>5</w:t>
            </w:r>
          </w:p>
        </w:tc>
        <w:tc>
          <w:tcPr>
            <w:tcW w:w="3118" w:type="dxa"/>
            <w:shd w:val="clear" w:color="auto" w:fill="auto"/>
          </w:tcPr>
          <w:p w:rsidR="00D51A2A" w:rsidRPr="0048482F" w:rsidRDefault="00D51A2A" w:rsidP="0057461E">
            <w:pPr>
              <w:pStyle w:val="text0"/>
              <w:spacing w:after="0"/>
              <w:jc w:val="center"/>
              <w:rPr>
                <w:rFonts w:cs="Times"/>
                <w:color w:val="000000"/>
                <w:sz w:val="20"/>
              </w:rPr>
            </w:pPr>
            <w:r w:rsidRPr="0048482F">
              <w:rPr>
                <w:rFonts w:cs="Times"/>
                <w:color w:val="000000"/>
                <w:sz w:val="20"/>
              </w:rPr>
              <w:t>≤</w:t>
            </w:r>
            <w:r>
              <w:rPr>
                <w:color w:val="000000"/>
                <w:sz w:val="20"/>
              </w:rPr>
              <w:t>-2</w:t>
            </w:r>
          </w:p>
        </w:tc>
      </w:tr>
    </w:tbl>
    <w:p w:rsidR="00206A48" w:rsidRDefault="00206A48" w:rsidP="00206A48">
      <w:pPr>
        <w:pStyle w:val="Heading1"/>
        <w:rPr>
          <w:lang w:val="en-US"/>
        </w:rPr>
      </w:pPr>
      <w:r>
        <w:rPr>
          <w:lang w:val="en-US"/>
        </w:rPr>
        <w:t>MCS Indication</w:t>
      </w:r>
      <w:r>
        <w:rPr>
          <w:lang w:val="en-US"/>
        </w:rPr>
        <w:t xml:space="preserve"> for URLLC </w:t>
      </w:r>
    </w:p>
    <w:p w:rsidR="00E439F8" w:rsidRDefault="00206A48" w:rsidP="00206A48">
      <w:pPr>
        <w:contextualSpacing/>
        <w:jc w:val="both"/>
        <w:rPr>
          <w:sz w:val="24"/>
        </w:rPr>
      </w:pPr>
      <w:r w:rsidRPr="00214BB7">
        <w:rPr>
          <w:sz w:val="24"/>
        </w:rPr>
        <w:t xml:space="preserve">In the previous </w:t>
      </w:r>
      <w:r w:rsidR="00E439F8" w:rsidRPr="00214BB7">
        <w:rPr>
          <w:sz w:val="24"/>
        </w:rPr>
        <w:t xml:space="preserve">meeting </w:t>
      </w:r>
      <w:r w:rsidR="00E439F8">
        <w:rPr>
          <w:sz w:val="24"/>
        </w:rPr>
        <w:t xml:space="preserve">most of the focus is on CQI thresholds and entries for CQI table design. However it should be noted that with the introduction of two CQI tables corresponding to different thresholds MCS table is design is tricky. For example in eMBB, the MCS table is designed such that each index differs by almost 1 dB with the previous MCS index.  However, with a new CQI table for 10 ^ (-5), we need to design a new MCS table corresponding the BLER threshold of </w:t>
      </w:r>
      <w:r w:rsidR="00E439F8">
        <w:rPr>
          <w:sz w:val="24"/>
        </w:rPr>
        <w:t>10 ^ (-5)</w:t>
      </w:r>
      <w:r w:rsidR="00E439F8">
        <w:rPr>
          <w:sz w:val="24"/>
        </w:rPr>
        <w:t>.  In this case, we prefer to indicate the chosen MCS table as part of downlink control channel for URLLC. This gives flexibility to the network to switch between eMBB and NR URLLC. Note that the spectral efficiency of NR URLLC with BLER threshold of 10^ (-5) is always less than the spectral efficiency of NR URLLC with BLER threshold of 10^ (-1) or eMBB.</w:t>
      </w:r>
    </w:p>
    <w:p w:rsidR="00E439F8" w:rsidRDefault="00E439F8" w:rsidP="00206A48">
      <w:pPr>
        <w:contextualSpacing/>
        <w:rPr>
          <w:b/>
          <w:noProof/>
          <w:sz w:val="24"/>
          <w:szCs w:val="24"/>
        </w:rPr>
      </w:pPr>
    </w:p>
    <w:p w:rsidR="00206A48" w:rsidRPr="00DA5CDF" w:rsidRDefault="00E439F8" w:rsidP="00206A48">
      <w:pPr>
        <w:contextualSpacing/>
      </w:pPr>
      <w:r>
        <w:rPr>
          <w:b/>
          <w:noProof/>
          <w:sz w:val="24"/>
          <w:szCs w:val="24"/>
        </w:rPr>
        <w:t>Proposal 4</w:t>
      </w:r>
      <w:r w:rsidR="00206A48" w:rsidRPr="00214BB7">
        <w:rPr>
          <w:b/>
          <w:noProof/>
          <w:sz w:val="24"/>
          <w:szCs w:val="24"/>
        </w:rPr>
        <w:t>:</w:t>
      </w:r>
      <w:r w:rsidR="00206A48" w:rsidRPr="00214BB7">
        <w:rPr>
          <w:b/>
          <w:sz w:val="24"/>
          <w:szCs w:val="24"/>
        </w:rPr>
        <w:t xml:space="preserve"> </w:t>
      </w:r>
      <w:r>
        <w:rPr>
          <w:b/>
          <w:sz w:val="24"/>
          <w:szCs w:val="24"/>
        </w:rPr>
        <w:t xml:space="preserve"> If two MCS tables are designed, dynamic indication of MCS table as part of DCI is preferred for URLLC </w:t>
      </w:r>
      <w:r w:rsidR="00206A48" w:rsidRPr="00214BB7">
        <w:rPr>
          <w:b/>
          <w:sz w:val="24"/>
          <w:szCs w:val="24"/>
        </w:rPr>
        <w:t xml:space="preserve"> </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FE24E4">
        <w:rPr>
          <w:sz w:val="24"/>
          <w:szCs w:val="24"/>
          <w:lang w:val="en-GB"/>
        </w:rPr>
        <w:t>CQI</w:t>
      </w:r>
      <w:r w:rsidR="00E439F8">
        <w:rPr>
          <w:sz w:val="24"/>
          <w:szCs w:val="24"/>
          <w:lang w:val="en-GB"/>
        </w:rPr>
        <w:t>/MCS</w:t>
      </w:r>
      <w:r w:rsidR="00FE24E4">
        <w:rPr>
          <w:sz w:val="24"/>
          <w:szCs w:val="24"/>
          <w:lang w:val="en-GB"/>
        </w:rPr>
        <w:t xml:space="preserve"> reporting </w:t>
      </w:r>
      <w:r w:rsidR="0049572D">
        <w:rPr>
          <w:sz w:val="24"/>
          <w:szCs w:val="24"/>
          <w:lang w:val="en-GB"/>
        </w:rPr>
        <w:t>for NR</w:t>
      </w:r>
      <w:r w:rsidR="00FE24E4">
        <w:rPr>
          <w:sz w:val="24"/>
          <w:szCs w:val="24"/>
          <w:lang w:val="en-GB"/>
        </w:rPr>
        <w:t xml:space="preserve"> URLLC</w:t>
      </w:r>
      <w:r w:rsidR="0049572D">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lastRenderedPageBreak/>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rsidR="00E439F8" w:rsidRPr="00DA5CDF" w:rsidRDefault="00E439F8" w:rsidP="00E439F8">
      <w:pPr>
        <w:contextualSpacing/>
      </w:pPr>
      <w:r w:rsidRPr="00214BB7">
        <w:rPr>
          <w:b/>
          <w:noProof/>
          <w:sz w:val="24"/>
          <w:szCs w:val="24"/>
        </w:rPr>
        <w:t>Proposal 1:</w:t>
      </w:r>
      <w:r w:rsidRPr="00214BB7">
        <w:rPr>
          <w:b/>
          <w:sz w:val="24"/>
          <w:szCs w:val="24"/>
        </w:rPr>
        <w:t xml:space="preserve">  </w:t>
      </w:r>
      <w:r>
        <w:rPr>
          <w:b/>
          <w:sz w:val="24"/>
          <w:szCs w:val="24"/>
        </w:rPr>
        <w:t>BLER target for each CQI is conveyed to the UE as part of CSI report setting</w:t>
      </w:r>
    </w:p>
    <w:p w:rsidR="00E439F8" w:rsidRDefault="00E439F8" w:rsidP="00C974FB">
      <w:pPr>
        <w:contextualSpacing/>
        <w:rPr>
          <w:b/>
          <w:sz w:val="24"/>
        </w:rPr>
      </w:pPr>
      <w:bookmarkStart w:id="9" w:name="_GoBack"/>
      <w:bookmarkEnd w:id="9"/>
    </w:p>
    <w:p w:rsidR="00E439F8" w:rsidRDefault="00E439F8" w:rsidP="00E439F8">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rsidR="00E439F8" w:rsidRDefault="00E439F8" w:rsidP="00E439F8">
      <w:pPr>
        <w:jc w:val="both"/>
        <w:rPr>
          <w:rFonts w:eastAsia="MS Mincho"/>
          <w:sz w:val="24"/>
          <w:szCs w:val="24"/>
          <w:lang w:eastAsia="ja-JP"/>
        </w:rPr>
      </w:pPr>
      <w:r>
        <w:rPr>
          <w:b/>
          <w:sz w:val="24"/>
          <w:szCs w:val="24"/>
        </w:rPr>
        <w:t>Proposal 3</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Offset level</w:t>
            </w:r>
          </w:p>
        </w:tc>
      </w:tr>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0</w:t>
            </w:r>
          </w:p>
        </w:tc>
        <w:tc>
          <w:tcPr>
            <w:tcW w:w="3118"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0</w:t>
            </w:r>
          </w:p>
        </w:tc>
      </w:tr>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1</w:t>
            </w:r>
          </w:p>
        </w:tc>
        <w:tc>
          <w:tcPr>
            <w:tcW w:w="3118"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1</w:t>
            </w:r>
          </w:p>
        </w:tc>
      </w:tr>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2</w:t>
            </w:r>
          </w:p>
        </w:tc>
        <w:tc>
          <w:tcPr>
            <w:tcW w:w="3118" w:type="dxa"/>
            <w:shd w:val="clear" w:color="auto" w:fill="auto"/>
          </w:tcPr>
          <w:p w:rsidR="00E439F8" w:rsidRPr="0048482F" w:rsidRDefault="00E439F8" w:rsidP="0057461E">
            <w:pPr>
              <w:pStyle w:val="text0"/>
              <w:spacing w:after="0"/>
              <w:jc w:val="center"/>
              <w:rPr>
                <w:color w:val="000000"/>
                <w:sz w:val="20"/>
              </w:rPr>
            </w:pPr>
            <w:r>
              <w:rPr>
                <w:rFonts w:cs="Times"/>
                <w:color w:val="000000"/>
                <w:sz w:val="20"/>
              </w:rPr>
              <w:t>2</w:t>
            </w:r>
          </w:p>
        </w:tc>
      </w:tr>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sidRPr="0048482F">
              <w:rPr>
                <w:color w:val="000000"/>
                <w:sz w:val="20"/>
              </w:rPr>
              <w:t>3</w:t>
            </w:r>
          </w:p>
        </w:tc>
        <w:tc>
          <w:tcPr>
            <w:tcW w:w="3118" w:type="dxa"/>
            <w:shd w:val="clear" w:color="auto" w:fill="auto"/>
          </w:tcPr>
          <w:p w:rsidR="00E439F8" w:rsidRPr="0048482F" w:rsidRDefault="00E439F8" w:rsidP="0057461E">
            <w:pPr>
              <w:pStyle w:val="text0"/>
              <w:spacing w:after="0"/>
              <w:rPr>
                <w:color w:val="000000"/>
                <w:sz w:val="20"/>
              </w:rPr>
            </w:pPr>
            <w:r>
              <w:rPr>
                <w:rFonts w:cs="Times"/>
                <w:color w:val="000000"/>
                <w:sz w:val="20"/>
              </w:rPr>
              <w:t xml:space="preserve">                           -1</w:t>
            </w:r>
          </w:p>
        </w:tc>
      </w:tr>
      <w:tr w:rsidR="00E439F8" w:rsidRPr="0048482F" w:rsidTr="0057461E">
        <w:tc>
          <w:tcPr>
            <w:tcW w:w="3260" w:type="dxa"/>
            <w:shd w:val="clear" w:color="auto" w:fill="auto"/>
          </w:tcPr>
          <w:p w:rsidR="00E439F8" w:rsidRPr="0048482F" w:rsidRDefault="00E439F8" w:rsidP="0057461E">
            <w:pPr>
              <w:pStyle w:val="text0"/>
              <w:spacing w:after="0"/>
              <w:jc w:val="center"/>
              <w:rPr>
                <w:color w:val="000000"/>
                <w:sz w:val="20"/>
              </w:rPr>
            </w:pPr>
            <w:r>
              <w:rPr>
                <w:color w:val="000000"/>
                <w:sz w:val="20"/>
              </w:rPr>
              <w:t>4</w:t>
            </w:r>
          </w:p>
        </w:tc>
        <w:tc>
          <w:tcPr>
            <w:tcW w:w="3118" w:type="dxa"/>
            <w:shd w:val="clear" w:color="auto" w:fill="auto"/>
          </w:tcPr>
          <w:p w:rsidR="00E439F8" w:rsidRPr="0048482F" w:rsidRDefault="00E439F8" w:rsidP="0057461E">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E439F8" w:rsidRPr="0048482F" w:rsidTr="0057461E">
        <w:tc>
          <w:tcPr>
            <w:tcW w:w="3260" w:type="dxa"/>
            <w:shd w:val="clear" w:color="auto" w:fill="auto"/>
          </w:tcPr>
          <w:p w:rsidR="00E439F8" w:rsidRDefault="00E439F8" w:rsidP="0057461E">
            <w:pPr>
              <w:pStyle w:val="text0"/>
              <w:spacing w:after="0"/>
              <w:jc w:val="center"/>
              <w:rPr>
                <w:color w:val="000000"/>
                <w:sz w:val="20"/>
              </w:rPr>
            </w:pPr>
            <w:r>
              <w:rPr>
                <w:color w:val="000000"/>
                <w:sz w:val="20"/>
              </w:rPr>
              <w:t>5</w:t>
            </w:r>
          </w:p>
        </w:tc>
        <w:tc>
          <w:tcPr>
            <w:tcW w:w="3118" w:type="dxa"/>
            <w:shd w:val="clear" w:color="auto" w:fill="auto"/>
          </w:tcPr>
          <w:p w:rsidR="00E439F8" w:rsidRPr="0048482F" w:rsidRDefault="00E439F8" w:rsidP="0057461E">
            <w:pPr>
              <w:pStyle w:val="text0"/>
              <w:spacing w:after="0"/>
              <w:jc w:val="center"/>
              <w:rPr>
                <w:rFonts w:cs="Times"/>
                <w:color w:val="000000"/>
                <w:sz w:val="20"/>
              </w:rPr>
            </w:pPr>
            <w:r w:rsidRPr="0048482F">
              <w:rPr>
                <w:rFonts w:cs="Times"/>
                <w:color w:val="000000"/>
                <w:sz w:val="20"/>
              </w:rPr>
              <w:t>≤</w:t>
            </w:r>
            <w:r>
              <w:rPr>
                <w:color w:val="000000"/>
                <w:sz w:val="20"/>
              </w:rPr>
              <w:t>-2</w:t>
            </w:r>
          </w:p>
        </w:tc>
      </w:tr>
    </w:tbl>
    <w:p w:rsidR="00E439F8" w:rsidRPr="00DA5CDF" w:rsidRDefault="00E439F8" w:rsidP="00C974FB">
      <w:pPr>
        <w:contextualSpacing/>
      </w:pPr>
    </w:p>
    <w:p w:rsidR="0049572D" w:rsidRDefault="0049572D" w:rsidP="0049572D">
      <w:pPr>
        <w:pStyle w:val="Text"/>
        <w:jc w:val="both"/>
        <w:rPr>
          <w:rFonts w:ascii="Times New Roman" w:hAnsi="Times New Roman"/>
          <w:b/>
          <w:sz w:val="24"/>
          <w:szCs w:val="24"/>
        </w:rPr>
      </w:pPr>
    </w:p>
    <w:p w:rsidR="00E439F8" w:rsidRPr="00DA5CDF" w:rsidRDefault="00E439F8" w:rsidP="00E439F8">
      <w:pPr>
        <w:contextualSpacing/>
      </w:pPr>
      <w:r>
        <w:rPr>
          <w:b/>
          <w:noProof/>
          <w:sz w:val="24"/>
          <w:szCs w:val="24"/>
        </w:rPr>
        <w:t>Proposal 4</w:t>
      </w:r>
      <w:r w:rsidRPr="00214BB7">
        <w:rPr>
          <w:b/>
          <w:noProof/>
          <w:sz w:val="24"/>
          <w:szCs w:val="24"/>
        </w:rPr>
        <w:t>:</w:t>
      </w:r>
      <w:r w:rsidRPr="00214BB7">
        <w:rPr>
          <w:b/>
          <w:sz w:val="24"/>
          <w:szCs w:val="24"/>
        </w:rPr>
        <w:t xml:space="preserve"> </w:t>
      </w:r>
      <w:r>
        <w:rPr>
          <w:b/>
          <w:sz w:val="24"/>
          <w:szCs w:val="24"/>
        </w:rPr>
        <w:t xml:space="preserve"> If two MCS tables are designed, dynamic indication of MCS table as part of DCI is preferred for URLLC </w:t>
      </w:r>
      <w:r w:rsidRPr="00214BB7">
        <w:rPr>
          <w:b/>
          <w:sz w:val="24"/>
          <w:szCs w:val="24"/>
        </w:rPr>
        <w:t xml:space="preserve"> </w:t>
      </w:r>
    </w:p>
    <w:p w:rsidR="00C17622" w:rsidRDefault="00C17622" w:rsidP="0049572D">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41" w:rsidRDefault="00952B41" w:rsidP="00A03DF3">
      <w:pPr>
        <w:spacing w:after="0"/>
      </w:pPr>
      <w:r>
        <w:separator/>
      </w:r>
    </w:p>
  </w:endnote>
  <w:endnote w:type="continuationSeparator" w:id="0">
    <w:p w:rsidR="00952B41" w:rsidRDefault="00952B4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439F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9F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41" w:rsidRDefault="00952B41" w:rsidP="00A03DF3">
      <w:pPr>
        <w:spacing w:after="0"/>
      </w:pPr>
      <w:r>
        <w:separator/>
      </w:r>
    </w:p>
  </w:footnote>
  <w:footnote w:type="continuationSeparator" w:id="0">
    <w:p w:rsidR="00952B41" w:rsidRDefault="00952B4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12"/>
  </w:num>
  <w:num w:numId="4">
    <w:abstractNumId w:val="5"/>
  </w:num>
  <w:num w:numId="5">
    <w:abstractNumId w:val="11"/>
  </w:num>
  <w:num w:numId="6">
    <w:abstractNumId w:val="6"/>
  </w:num>
  <w:num w:numId="7">
    <w:abstractNumId w:val="20"/>
  </w:num>
  <w:num w:numId="8">
    <w:abstractNumId w:val="27"/>
  </w:num>
  <w:num w:numId="9">
    <w:abstractNumId w:val="14"/>
  </w:num>
  <w:num w:numId="10">
    <w:abstractNumId w:val="17"/>
  </w:num>
  <w:num w:numId="11">
    <w:abstractNumId w:val="15"/>
  </w:num>
  <w:num w:numId="12">
    <w:abstractNumId w:val="28"/>
  </w:num>
  <w:num w:numId="13">
    <w:abstractNumId w:val="16"/>
  </w:num>
  <w:num w:numId="14">
    <w:abstractNumId w:val="21"/>
  </w:num>
  <w:num w:numId="15">
    <w:abstractNumId w:val="23"/>
  </w:num>
  <w:num w:numId="16">
    <w:abstractNumId w:val="13"/>
  </w:num>
  <w:num w:numId="17">
    <w:abstractNumId w:val="3"/>
  </w:num>
  <w:num w:numId="18">
    <w:abstractNumId w:val="2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 w:numId="22">
    <w:abstractNumId w:val="7"/>
  </w:num>
  <w:num w:numId="23">
    <w:abstractNumId w:val="22"/>
  </w:num>
  <w:num w:numId="24">
    <w:abstractNumId w:val="26"/>
  </w:num>
  <w:num w:numId="25">
    <w:abstractNumId w:val="9"/>
  </w:num>
  <w:num w:numId="26">
    <w:abstractNumId w:val="25"/>
  </w:num>
  <w:num w:numId="27">
    <w:abstractNumId w:val="8"/>
  </w:num>
  <w:num w:numId="28">
    <w:abstractNumId w:val="10"/>
  </w:num>
  <w:num w:numId="29">
    <w:abstractNumId w:val="1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3580"/>
    <w:rsid w:val="001578AE"/>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21E2"/>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D2394"/>
    <w:rsid w:val="002E3D2F"/>
    <w:rsid w:val="002E6A45"/>
    <w:rsid w:val="002E6BC4"/>
    <w:rsid w:val="002F06AF"/>
    <w:rsid w:val="002F500A"/>
    <w:rsid w:val="002F70E1"/>
    <w:rsid w:val="00302DBC"/>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387F"/>
    <w:rsid w:val="003A6F05"/>
    <w:rsid w:val="003B08A8"/>
    <w:rsid w:val="003B11C5"/>
    <w:rsid w:val="003C016A"/>
    <w:rsid w:val="003C04C9"/>
    <w:rsid w:val="003C0F81"/>
    <w:rsid w:val="003C1FBC"/>
    <w:rsid w:val="003C71AC"/>
    <w:rsid w:val="003D2FF5"/>
    <w:rsid w:val="003D51ED"/>
    <w:rsid w:val="003F3BD7"/>
    <w:rsid w:val="003F54E8"/>
    <w:rsid w:val="00404CC0"/>
    <w:rsid w:val="00413433"/>
    <w:rsid w:val="0041500F"/>
    <w:rsid w:val="00416778"/>
    <w:rsid w:val="00416848"/>
    <w:rsid w:val="0041687B"/>
    <w:rsid w:val="00417010"/>
    <w:rsid w:val="00421884"/>
    <w:rsid w:val="00434696"/>
    <w:rsid w:val="00434EBF"/>
    <w:rsid w:val="00435A39"/>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56F5D"/>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4BA"/>
    <w:rsid w:val="0061290E"/>
    <w:rsid w:val="0062001B"/>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0DD0"/>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57CAA"/>
    <w:rsid w:val="00760679"/>
    <w:rsid w:val="0076369B"/>
    <w:rsid w:val="00767F04"/>
    <w:rsid w:val="00774FEA"/>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06A67"/>
    <w:rsid w:val="0081279A"/>
    <w:rsid w:val="00816FB9"/>
    <w:rsid w:val="008177E7"/>
    <w:rsid w:val="00822CF7"/>
    <w:rsid w:val="00825D7A"/>
    <w:rsid w:val="00825EC8"/>
    <w:rsid w:val="00827106"/>
    <w:rsid w:val="00827552"/>
    <w:rsid w:val="008305FD"/>
    <w:rsid w:val="00841D9F"/>
    <w:rsid w:val="00843B1D"/>
    <w:rsid w:val="00844CF1"/>
    <w:rsid w:val="00860E8A"/>
    <w:rsid w:val="0086141D"/>
    <w:rsid w:val="008645B9"/>
    <w:rsid w:val="00876F81"/>
    <w:rsid w:val="008779BD"/>
    <w:rsid w:val="00881B50"/>
    <w:rsid w:val="00883F0F"/>
    <w:rsid w:val="00890365"/>
    <w:rsid w:val="00892F50"/>
    <w:rsid w:val="008930A9"/>
    <w:rsid w:val="008959B1"/>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0711"/>
    <w:rsid w:val="00923046"/>
    <w:rsid w:val="0092356A"/>
    <w:rsid w:val="009338D5"/>
    <w:rsid w:val="00935907"/>
    <w:rsid w:val="009444F6"/>
    <w:rsid w:val="009472B9"/>
    <w:rsid w:val="009477DD"/>
    <w:rsid w:val="00952B41"/>
    <w:rsid w:val="00961690"/>
    <w:rsid w:val="00964DE7"/>
    <w:rsid w:val="009714DC"/>
    <w:rsid w:val="00972121"/>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0A99"/>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C3C"/>
    <w:rsid w:val="00B82AA0"/>
    <w:rsid w:val="00B82F38"/>
    <w:rsid w:val="00B865C9"/>
    <w:rsid w:val="00B86C48"/>
    <w:rsid w:val="00B91E13"/>
    <w:rsid w:val="00B9611D"/>
    <w:rsid w:val="00B96FAF"/>
    <w:rsid w:val="00BA18D9"/>
    <w:rsid w:val="00BB33F1"/>
    <w:rsid w:val="00BB4CBA"/>
    <w:rsid w:val="00BC6517"/>
    <w:rsid w:val="00BC7C88"/>
    <w:rsid w:val="00BD36B3"/>
    <w:rsid w:val="00BE32F5"/>
    <w:rsid w:val="00BE6C2E"/>
    <w:rsid w:val="00BF2B2D"/>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70D25"/>
    <w:rsid w:val="00C9597D"/>
    <w:rsid w:val="00C974FB"/>
    <w:rsid w:val="00CA0134"/>
    <w:rsid w:val="00CA4771"/>
    <w:rsid w:val="00CA5FB4"/>
    <w:rsid w:val="00CB1D83"/>
    <w:rsid w:val="00CB5E6A"/>
    <w:rsid w:val="00CB7ACA"/>
    <w:rsid w:val="00CC3CDF"/>
    <w:rsid w:val="00CC4075"/>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81AE8"/>
    <w:rsid w:val="00D83DB3"/>
    <w:rsid w:val="00D913DA"/>
    <w:rsid w:val="00DA14A6"/>
    <w:rsid w:val="00DA67F5"/>
    <w:rsid w:val="00DA7B6D"/>
    <w:rsid w:val="00DB432F"/>
    <w:rsid w:val="00DB491C"/>
    <w:rsid w:val="00DB6035"/>
    <w:rsid w:val="00DC29F0"/>
    <w:rsid w:val="00DE5572"/>
    <w:rsid w:val="00DF21E7"/>
    <w:rsid w:val="00DF3AD1"/>
    <w:rsid w:val="00DF7C58"/>
    <w:rsid w:val="00E01F10"/>
    <w:rsid w:val="00E06B94"/>
    <w:rsid w:val="00E11376"/>
    <w:rsid w:val="00E11C1C"/>
    <w:rsid w:val="00E11F2C"/>
    <w:rsid w:val="00E14120"/>
    <w:rsid w:val="00E16CB7"/>
    <w:rsid w:val="00E21454"/>
    <w:rsid w:val="00E21665"/>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0DCA"/>
    <w:rsid w:val="00E91703"/>
    <w:rsid w:val="00E94203"/>
    <w:rsid w:val="00E96EC3"/>
    <w:rsid w:val="00EA12F6"/>
    <w:rsid w:val="00EA64BD"/>
    <w:rsid w:val="00EB2825"/>
    <w:rsid w:val="00EB513C"/>
    <w:rsid w:val="00EB5891"/>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473C8"/>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3EED9-95F1-411E-8B90-494F7CC1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5063</TotalTime>
  <Pages>6</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506</cp:revision>
  <dcterms:created xsi:type="dcterms:W3CDTF">2016-08-12T11:37:00Z</dcterms:created>
  <dcterms:modified xsi:type="dcterms:W3CDTF">2018-05-11T21:47:00Z</dcterms:modified>
</cp:coreProperties>
</file>